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CB38" w14:textId="6729C0A2" w:rsidR="00BD13F1" w:rsidRDefault="00BD13F1">
      <w:pPr>
        <w:ind w:left="1392"/>
        <w:rPr>
          <w:rFonts w:ascii="Times New Roman"/>
          <w:noProof/>
          <w:sz w:val="20"/>
        </w:rPr>
      </w:pPr>
      <w:r>
        <w:rPr>
          <w:rFonts w:ascii="Times New Roman"/>
          <w:noProof/>
          <w:sz w:val="20"/>
        </w:rPr>
        <w:drawing>
          <wp:anchor distT="0" distB="0" distL="114300" distR="114300" simplePos="0" relativeHeight="251658240" behindDoc="1" locked="0" layoutInCell="1" allowOverlap="1" wp14:anchorId="47CFEC87" wp14:editId="09ABB80B">
            <wp:simplePos x="0" y="0"/>
            <wp:positionH relativeFrom="column">
              <wp:posOffset>-73025</wp:posOffset>
            </wp:positionH>
            <wp:positionV relativeFrom="paragraph">
              <wp:posOffset>-552450</wp:posOffset>
            </wp:positionV>
            <wp:extent cx="6483350" cy="2800350"/>
            <wp:effectExtent l="0" t="0" r="0" b="0"/>
            <wp:wrapTight wrapText="bothSides">
              <wp:wrapPolygon edited="0">
                <wp:start x="3808" y="1176"/>
                <wp:lineTo x="3173" y="1616"/>
                <wp:lineTo x="1460" y="3380"/>
                <wp:lineTo x="1396" y="3967"/>
                <wp:lineTo x="571" y="6171"/>
                <wp:lineTo x="127" y="8522"/>
                <wp:lineTo x="0" y="10873"/>
                <wp:lineTo x="63" y="13224"/>
                <wp:lineTo x="444" y="15576"/>
                <wp:lineTo x="1142" y="17927"/>
                <wp:lineTo x="2285" y="20278"/>
                <wp:lineTo x="2031" y="20278"/>
                <wp:lineTo x="2158" y="20718"/>
                <wp:lineTo x="3681" y="21012"/>
                <wp:lineTo x="6728" y="21012"/>
                <wp:lineTo x="21198" y="20424"/>
                <wp:lineTo x="21388" y="20278"/>
                <wp:lineTo x="21515" y="19249"/>
                <wp:lineTo x="21515" y="17633"/>
                <wp:lineTo x="15867" y="15576"/>
                <wp:lineTo x="16501" y="15576"/>
                <wp:lineTo x="17580" y="14106"/>
                <wp:lineTo x="17644" y="11902"/>
                <wp:lineTo x="16501" y="11461"/>
                <wp:lineTo x="10282" y="10873"/>
                <wp:lineTo x="11868" y="10873"/>
                <wp:lineTo x="15803" y="9257"/>
                <wp:lineTo x="15803" y="7494"/>
                <wp:lineTo x="15613" y="6465"/>
                <wp:lineTo x="15296" y="6171"/>
                <wp:lineTo x="15359" y="5584"/>
                <wp:lineTo x="15105" y="4849"/>
                <wp:lineTo x="14153" y="3820"/>
                <wp:lineTo x="14534" y="3086"/>
                <wp:lineTo x="14407" y="2204"/>
                <wp:lineTo x="13645" y="1176"/>
                <wp:lineTo x="3808" y="1176"/>
              </wp:wrapPolygon>
            </wp:wrapTight>
            <wp:docPr id="580686251" name="Image 1" descr="A logo with green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green text  AI-generated content may be incorrect. "/>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3350" cy="2800350"/>
                    </a:xfrm>
                    <a:prstGeom prst="rect">
                      <a:avLst/>
                    </a:prstGeom>
                  </pic:spPr>
                </pic:pic>
              </a:graphicData>
            </a:graphic>
            <wp14:sizeRelH relativeFrom="margin">
              <wp14:pctWidth>0</wp14:pctWidth>
            </wp14:sizeRelH>
            <wp14:sizeRelV relativeFrom="margin">
              <wp14:pctHeight>0</wp14:pctHeight>
            </wp14:sizeRelV>
          </wp:anchor>
        </w:drawing>
      </w:r>
    </w:p>
    <w:p w14:paraId="177D7574" w14:textId="188F33DD" w:rsidR="00BD13F1" w:rsidRPr="002003DE" w:rsidRDefault="002003DE" w:rsidP="002003DE">
      <w:pPr>
        <w:ind w:left="1392"/>
        <w:rPr>
          <w:rFonts w:ascii="Times New Roman"/>
          <w:sz w:val="20"/>
        </w:rPr>
      </w:pPr>
      <w:r w:rsidRPr="002003DE">
        <w:rPr>
          <w:rFonts w:ascii="Calibri" w:eastAsia="Calibri" w:hAnsi="Calibri" w:cs="Calibri"/>
          <w:noProof/>
        </w:rPr>
        <w:drawing>
          <wp:anchor distT="0" distB="0" distL="114300" distR="114300" simplePos="0" relativeHeight="251660288" behindDoc="1" locked="0" layoutInCell="1" allowOverlap="1" wp14:anchorId="0B594435" wp14:editId="79B7C1FC">
            <wp:simplePos x="0" y="0"/>
            <wp:positionH relativeFrom="margin">
              <wp:posOffset>5346700</wp:posOffset>
            </wp:positionH>
            <wp:positionV relativeFrom="paragraph">
              <wp:posOffset>73025</wp:posOffset>
            </wp:positionV>
            <wp:extent cx="920115" cy="1381125"/>
            <wp:effectExtent l="0" t="0" r="0" b="9525"/>
            <wp:wrapTight wrapText="bothSides">
              <wp:wrapPolygon edited="0">
                <wp:start x="0" y="0"/>
                <wp:lineTo x="0" y="21451"/>
                <wp:lineTo x="21019" y="21451"/>
                <wp:lineTo x="21019" y="0"/>
                <wp:lineTo x="0" y="0"/>
              </wp:wrapPolygon>
            </wp:wrapTight>
            <wp:docPr id="1241939042" name="Picture 13" descr="A logo of a book with a coupl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39042" name="Picture 13" descr="A logo of a book with a couple of peop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0115" cy="1381125"/>
                    </a:xfrm>
                    <a:prstGeom prst="rect">
                      <a:avLst/>
                    </a:prstGeom>
                  </pic:spPr>
                </pic:pic>
              </a:graphicData>
            </a:graphic>
            <wp14:sizeRelH relativeFrom="margin">
              <wp14:pctWidth>0</wp14:pctWidth>
            </wp14:sizeRelH>
            <wp14:sizeRelV relativeFrom="margin">
              <wp14:pctHeight>0</wp14:pctHeight>
            </wp14:sizeRelV>
          </wp:anchor>
        </w:drawing>
      </w:r>
      <w:r w:rsidR="0088432A">
        <w:rPr>
          <w:rFonts w:ascii="Times New Roman"/>
          <w:noProof/>
          <w:sz w:val="20"/>
        </w:rPr>
        <mc:AlternateContent>
          <mc:Choice Requires="wps">
            <w:drawing>
              <wp:anchor distT="0" distB="0" distL="0" distR="0" simplePos="0" relativeHeight="15728640" behindDoc="0" locked="0" layoutInCell="1" allowOverlap="1" wp14:anchorId="2CE4A378" wp14:editId="5A5FF042">
                <wp:simplePos x="0" y="0"/>
                <wp:positionH relativeFrom="page">
                  <wp:posOffset>513698</wp:posOffset>
                </wp:positionH>
                <wp:positionV relativeFrom="page">
                  <wp:posOffset>2864035</wp:posOffset>
                </wp:positionV>
                <wp:extent cx="671004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0045" cy="1270"/>
                        </a:xfrm>
                        <a:custGeom>
                          <a:avLst/>
                          <a:gdLst/>
                          <a:ahLst/>
                          <a:cxnLst/>
                          <a:rect l="l" t="t" r="r" b="b"/>
                          <a:pathLst>
                            <a:path w="6710045">
                              <a:moveTo>
                                <a:pt x="0" y="0"/>
                              </a:moveTo>
                              <a:lnTo>
                                <a:pt x="6709688" y="0"/>
                              </a:lnTo>
                            </a:path>
                          </a:pathLst>
                        </a:custGeom>
                        <a:ln w="6135">
                          <a:solidFill>
                            <a:srgbClr val="70AD47"/>
                          </a:solidFill>
                          <a:prstDash val="solid"/>
                        </a:ln>
                      </wps:spPr>
                      <wps:bodyPr wrap="square" lIns="0" tIns="0" rIns="0" bIns="0" rtlCol="0">
                        <a:prstTxWarp prst="textNoShape">
                          <a:avLst/>
                        </a:prstTxWarp>
                        <a:noAutofit/>
                      </wps:bodyPr>
                    </wps:wsp>
                  </a:graphicData>
                </a:graphic>
              </wp:anchor>
            </w:drawing>
          </mc:Choice>
          <mc:Fallback>
            <w:pict>
              <v:shape w14:anchorId="7A3D72F8" id="Graphic 2" o:spid="_x0000_s1026" style="position:absolute;margin-left:40.45pt;margin-top:225.5pt;width:528.35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71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" path="m,l6709688,e" filled="f" strokecolor="#70ad47" strokeweight=".17042mm">
                <v:path arrowok="t"/>
                <w10:wrap anchorx="page" anchory="page"/>
              </v:shape>
            </w:pict>
          </mc:Fallback>
        </mc:AlternateContent>
      </w:r>
    </w:p>
    <w:p w14:paraId="3D8E1DA9" w14:textId="29277D84" w:rsidR="00BD13F1" w:rsidRDefault="00BD13F1">
      <w:pPr>
        <w:pStyle w:val="BodyText"/>
        <w:spacing w:before="426"/>
        <w:ind w:firstLine="0"/>
        <w:rPr>
          <w:rFonts w:ascii="Times New Roman"/>
          <w:sz w:val="54"/>
        </w:rPr>
      </w:pPr>
    </w:p>
    <w:p w14:paraId="66961027" w14:textId="77777777" w:rsidR="001148B2" w:rsidRDefault="0088432A">
      <w:pPr>
        <w:pStyle w:val="Heading1"/>
        <w:spacing w:line="259" w:lineRule="auto"/>
      </w:pPr>
      <w:r>
        <w:rPr>
          <w:color w:val="538135"/>
        </w:rPr>
        <w:t>Trust Policy Statement on Special Educational</w:t>
      </w:r>
      <w:r>
        <w:rPr>
          <w:color w:val="538135"/>
          <w:spacing w:val="-5"/>
        </w:rPr>
        <w:t xml:space="preserve"> </w:t>
      </w:r>
      <w:r>
        <w:rPr>
          <w:color w:val="538135"/>
        </w:rPr>
        <w:t>Needs</w:t>
      </w:r>
      <w:r>
        <w:rPr>
          <w:color w:val="538135"/>
          <w:spacing w:val="-4"/>
        </w:rPr>
        <w:t xml:space="preserve"> </w:t>
      </w:r>
      <w:r>
        <w:rPr>
          <w:color w:val="538135"/>
        </w:rPr>
        <w:t>and</w:t>
      </w:r>
      <w:r>
        <w:rPr>
          <w:color w:val="538135"/>
          <w:spacing w:val="-4"/>
        </w:rPr>
        <w:t xml:space="preserve"> </w:t>
      </w:r>
      <w:r>
        <w:rPr>
          <w:color w:val="538135"/>
        </w:rPr>
        <w:t>Disability Policy Statement</w:t>
      </w:r>
    </w:p>
    <w:p w14:paraId="25F69D48" w14:textId="77777777" w:rsidR="001148B2" w:rsidRPr="0088432A" w:rsidRDefault="0088432A">
      <w:pPr>
        <w:pStyle w:val="Heading2"/>
        <w:spacing w:before="159"/>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pacing w:val="-2"/>
          <w:sz w:val="24"/>
          <w:szCs w:val="24"/>
        </w:rPr>
        <w:t>Introduction</w:t>
      </w:r>
    </w:p>
    <w:p w14:paraId="00FCA954" w14:textId="77777777" w:rsidR="001148B2" w:rsidRPr="0088432A" w:rsidRDefault="0088432A">
      <w:pPr>
        <w:pStyle w:val="BodyText"/>
        <w:spacing w:before="182" w:line="261" w:lineRule="auto"/>
        <w:ind w:left="46" w:right="214" w:hanging="1"/>
        <w:rPr>
          <w:rFonts w:asciiTheme="minorHAnsi" w:hAnsiTheme="minorHAnsi" w:cstheme="minorHAnsi"/>
          <w:color w:val="4F6228" w:themeColor="accent3" w:themeShade="80"/>
          <w:spacing w:val="-2"/>
          <w:sz w:val="24"/>
          <w:szCs w:val="24"/>
        </w:rPr>
      </w:pPr>
      <w:r w:rsidRPr="0088432A">
        <w:rPr>
          <w:rFonts w:asciiTheme="minorHAnsi" w:hAnsiTheme="minorHAnsi" w:cstheme="minorHAnsi"/>
          <w:color w:val="4F6228" w:themeColor="accent3" w:themeShade="80"/>
          <w:sz w:val="24"/>
          <w:szCs w:val="24"/>
        </w:rPr>
        <w:t xml:space="preserve">The ACT Multi Academy Trust </w:t>
      </w:r>
      <w:proofErr w:type="spellStart"/>
      <w:r w:rsidRPr="0088432A">
        <w:rPr>
          <w:rFonts w:asciiTheme="minorHAnsi" w:hAnsiTheme="minorHAnsi" w:cstheme="minorHAnsi"/>
          <w:color w:val="4F6228" w:themeColor="accent3" w:themeShade="80"/>
          <w:sz w:val="24"/>
          <w:szCs w:val="24"/>
        </w:rPr>
        <w:t>recognises</w:t>
      </w:r>
      <w:proofErr w:type="spellEnd"/>
      <w:r w:rsidRPr="0088432A">
        <w:rPr>
          <w:rFonts w:asciiTheme="minorHAnsi" w:hAnsiTheme="minorHAnsi" w:cstheme="minorHAnsi"/>
          <w:color w:val="4F6228" w:themeColor="accent3" w:themeShade="80"/>
          <w:sz w:val="24"/>
          <w:szCs w:val="24"/>
        </w:rPr>
        <w:t xml:space="preserve"> its responsibility for Special Educational Needs and Disability (SEND). It is a statutory requirement for all schools/academies to have a Special Educational Needs and Disability policy. This statement outlines the ethos, aims and requirements for schools within the </w:t>
      </w:r>
      <w:r w:rsidRPr="0088432A">
        <w:rPr>
          <w:rFonts w:asciiTheme="minorHAnsi" w:hAnsiTheme="minorHAnsi" w:cstheme="minorHAnsi"/>
          <w:color w:val="4F6228" w:themeColor="accent3" w:themeShade="80"/>
          <w:spacing w:val="-2"/>
          <w:sz w:val="24"/>
          <w:szCs w:val="24"/>
        </w:rPr>
        <w:t>trust.</w:t>
      </w:r>
    </w:p>
    <w:p w14:paraId="118B22C0" w14:textId="77777777" w:rsidR="0088432A" w:rsidRPr="0088432A" w:rsidRDefault="0088432A" w:rsidP="0088432A">
      <w:pPr>
        <w:pStyle w:val="BodyText"/>
        <w:spacing w:before="182" w:line="261" w:lineRule="auto"/>
        <w:ind w:left="46" w:right="214" w:hanging="1"/>
        <w:rPr>
          <w:rFonts w:asciiTheme="minorHAnsi" w:hAnsiTheme="minorHAnsi" w:cstheme="minorHAnsi"/>
          <w:color w:val="4F6228" w:themeColor="accent3" w:themeShade="80"/>
          <w:sz w:val="24"/>
          <w:szCs w:val="24"/>
          <w:lang w:val="en-GB"/>
        </w:rPr>
      </w:pPr>
      <w:r w:rsidRPr="0088432A">
        <w:rPr>
          <w:rFonts w:asciiTheme="minorHAnsi" w:hAnsiTheme="minorHAnsi" w:cstheme="minorHAnsi"/>
          <w:b/>
          <w:bCs/>
          <w:color w:val="4F6228" w:themeColor="accent3" w:themeShade="80"/>
          <w:sz w:val="24"/>
          <w:szCs w:val="24"/>
          <w:lang w:val="en-GB"/>
        </w:rPr>
        <w:t>Definitions</w:t>
      </w:r>
    </w:p>
    <w:p w14:paraId="21C0DE78" w14:textId="77777777" w:rsidR="0088432A" w:rsidRPr="0088432A" w:rsidRDefault="0088432A" w:rsidP="0088432A">
      <w:pPr>
        <w:pStyle w:val="BodyText"/>
        <w:numPr>
          <w:ilvl w:val="0"/>
          <w:numId w:val="3"/>
        </w:numPr>
        <w:spacing w:before="182" w:line="261" w:lineRule="auto"/>
        <w:ind w:right="214"/>
        <w:rPr>
          <w:rFonts w:asciiTheme="minorHAnsi" w:hAnsiTheme="minorHAnsi" w:cstheme="minorHAnsi"/>
          <w:color w:val="4F6228" w:themeColor="accent3" w:themeShade="80"/>
          <w:sz w:val="24"/>
          <w:szCs w:val="24"/>
          <w:lang w:val="en-GB"/>
        </w:rPr>
      </w:pPr>
      <w:r w:rsidRPr="0088432A">
        <w:rPr>
          <w:rFonts w:asciiTheme="minorHAnsi" w:hAnsiTheme="minorHAnsi" w:cstheme="minorHAnsi"/>
          <w:b/>
          <w:bCs/>
          <w:color w:val="4F6228" w:themeColor="accent3" w:themeShade="80"/>
          <w:sz w:val="24"/>
          <w:szCs w:val="24"/>
          <w:lang w:val="en-GB"/>
        </w:rPr>
        <w:t>Special Educational Needs and Disabilities (SEND):</w:t>
      </w:r>
      <w:r w:rsidRPr="0088432A">
        <w:rPr>
          <w:rFonts w:asciiTheme="minorHAnsi" w:hAnsiTheme="minorHAnsi" w:cstheme="minorHAnsi"/>
          <w:color w:val="4F6228" w:themeColor="accent3" w:themeShade="80"/>
          <w:sz w:val="24"/>
          <w:szCs w:val="24"/>
          <w:lang w:val="en-GB"/>
        </w:rPr>
        <w:t xml:space="preserve"> As defined in the SEND Code of Practice (2015), a child or young person has SEND if they have a learning difficulty or disability which calls for special educational provision.</w:t>
      </w:r>
    </w:p>
    <w:p w14:paraId="7F235657" w14:textId="77777777" w:rsidR="0088432A" w:rsidRPr="0088432A" w:rsidRDefault="0088432A" w:rsidP="0088432A">
      <w:pPr>
        <w:pStyle w:val="BodyText"/>
        <w:numPr>
          <w:ilvl w:val="0"/>
          <w:numId w:val="3"/>
        </w:numPr>
        <w:spacing w:before="182" w:line="261" w:lineRule="auto"/>
        <w:ind w:right="214"/>
        <w:rPr>
          <w:rFonts w:asciiTheme="minorHAnsi" w:hAnsiTheme="minorHAnsi" w:cstheme="minorHAnsi"/>
          <w:color w:val="4F6228" w:themeColor="accent3" w:themeShade="80"/>
          <w:sz w:val="24"/>
          <w:szCs w:val="24"/>
          <w:lang w:val="en-GB"/>
        </w:rPr>
      </w:pPr>
      <w:r w:rsidRPr="0088432A">
        <w:rPr>
          <w:rFonts w:asciiTheme="minorHAnsi" w:hAnsiTheme="minorHAnsi" w:cstheme="minorHAnsi"/>
          <w:b/>
          <w:bCs/>
          <w:color w:val="4F6228" w:themeColor="accent3" w:themeShade="80"/>
          <w:sz w:val="24"/>
          <w:szCs w:val="24"/>
          <w:lang w:val="en-GB"/>
        </w:rPr>
        <w:t>Disability:</w:t>
      </w:r>
      <w:r w:rsidRPr="0088432A">
        <w:rPr>
          <w:rFonts w:asciiTheme="minorHAnsi" w:hAnsiTheme="minorHAnsi" w:cstheme="minorHAnsi"/>
          <w:color w:val="4F6228" w:themeColor="accent3" w:themeShade="80"/>
          <w:sz w:val="24"/>
          <w:szCs w:val="24"/>
          <w:lang w:val="en-GB"/>
        </w:rPr>
        <w:t xml:space="preserve"> As defined in the Equality Act (2010), a physical or mental impairment with a long-term and substantial adverse effect on normal day-to-day activities.</w:t>
      </w:r>
    </w:p>
    <w:p w14:paraId="09B44304" w14:textId="77777777" w:rsidR="0088432A" w:rsidRPr="0088432A" w:rsidRDefault="0088432A" w:rsidP="0088432A">
      <w:pPr>
        <w:pStyle w:val="BodyText"/>
        <w:numPr>
          <w:ilvl w:val="0"/>
          <w:numId w:val="3"/>
        </w:numPr>
        <w:spacing w:before="182" w:line="261" w:lineRule="auto"/>
        <w:ind w:right="214"/>
        <w:rPr>
          <w:rFonts w:asciiTheme="minorHAnsi" w:hAnsiTheme="minorHAnsi" w:cstheme="minorHAnsi"/>
          <w:color w:val="4F6228" w:themeColor="accent3" w:themeShade="80"/>
          <w:sz w:val="24"/>
          <w:szCs w:val="24"/>
          <w:lang w:val="en-GB"/>
        </w:rPr>
      </w:pPr>
      <w:r w:rsidRPr="0088432A">
        <w:rPr>
          <w:rFonts w:asciiTheme="minorHAnsi" w:hAnsiTheme="minorHAnsi" w:cstheme="minorHAnsi"/>
          <w:b/>
          <w:bCs/>
          <w:color w:val="4F6228" w:themeColor="accent3" w:themeShade="80"/>
          <w:sz w:val="24"/>
          <w:szCs w:val="24"/>
          <w:lang w:val="en-GB"/>
        </w:rPr>
        <w:t>EAL/MEG:</w:t>
      </w:r>
      <w:r w:rsidRPr="0088432A">
        <w:rPr>
          <w:rFonts w:asciiTheme="minorHAnsi" w:hAnsiTheme="minorHAnsi" w:cstheme="minorHAnsi"/>
          <w:color w:val="4F6228" w:themeColor="accent3" w:themeShade="80"/>
          <w:sz w:val="24"/>
          <w:szCs w:val="24"/>
          <w:lang w:val="en-GB"/>
        </w:rPr>
        <w:t xml:space="preserve"> The Trust recognises the needs of learners with English as an Additional Language (EAL) and from Minority Ethnic Groups (MEG), ensuring equity and inclusion for all.</w:t>
      </w:r>
    </w:p>
    <w:p w14:paraId="637BAA39" w14:textId="77777777" w:rsidR="0088432A" w:rsidRPr="0088432A" w:rsidRDefault="0088432A" w:rsidP="0088432A">
      <w:pPr>
        <w:pStyle w:val="BodyText"/>
        <w:spacing w:before="182" w:line="261" w:lineRule="auto"/>
        <w:ind w:left="46" w:right="214" w:hanging="1"/>
        <w:rPr>
          <w:rFonts w:asciiTheme="minorHAnsi" w:hAnsiTheme="minorHAnsi" w:cstheme="minorHAnsi"/>
          <w:color w:val="4F6228" w:themeColor="accent3" w:themeShade="80"/>
          <w:sz w:val="24"/>
          <w:szCs w:val="24"/>
          <w:lang w:val="en-GB"/>
        </w:rPr>
      </w:pPr>
      <w:r w:rsidRPr="0088432A">
        <w:rPr>
          <w:rFonts w:asciiTheme="minorHAnsi" w:hAnsiTheme="minorHAnsi" w:cstheme="minorHAnsi"/>
          <w:b/>
          <w:bCs/>
          <w:color w:val="4F6228" w:themeColor="accent3" w:themeShade="80"/>
          <w:sz w:val="24"/>
          <w:szCs w:val="24"/>
          <w:lang w:val="en-GB"/>
        </w:rPr>
        <w:t>Legislation and Compliance</w:t>
      </w:r>
    </w:p>
    <w:p w14:paraId="04211339" w14:textId="18EF63C8" w:rsidR="0088432A" w:rsidRPr="0088432A" w:rsidRDefault="0088432A" w:rsidP="0088432A">
      <w:pPr>
        <w:pStyle w:val="BodyText"/>
        <w:numPr>
          <w:ilvl w:val="0"/>
          <w:numId w:val="4"/>
        </w:numPr>
        <w:spacing w:before="182" w:line="261" w:lineRule="auto"/>
        <w:ind w:right="214"/>
        <w:rPr>
          <w:rFonts w:asciiTheme="minorHAnsi" w:hAnsiTheme="minorHAnsi" w:cstheme="minorHAnsi"/>
          <w:color w:val="4F6228" w:themeColor="accent3" w:themeShade="80"/>
          <w:sz w:val="24"/>
          <w:szCs w:val="24"/>
          <w:lang w:val="en-GB"/>
        </w:rPr>
      </w:pPr>
      <w:r w:rsidRPr="0088432A">
        <w:rPr>
          <w:rFonts w:asciiTheme="minorHAnsi" w:hAnsiTheme="minorHAnsi" w:cstheme="minorHAnsi"/>
          <w:b/>
          <w:bCs/>
          <w:color w:val="4F6228" w:themeColor="accent3" w:themeShade="80"/>
          <w:sz w:val="24"/>
          <w:szCs w:val="24"/>
          <w:lang w:val="en-GB"/>
        </w:rPr>
        <w:t>This Statement is compliant with the SEND Code of Practice (2015), Equality Act (2010), Children and Families Act (2014), and SEND Regulations (2014).</w:t>
      </w:r>
    </w:p>
    <w:p w14:paraId="77F8AAA4" w14:textId="6DD449D3" w:rsidR="001148B2" w:rsidRPr="0088432A" w:rsidRDefault="0088432A">
      <w:pPr>
        <w:pStyle w:val="Heading2"/>
        <w:spacing w:before="157"/>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pacing w:val="-2"/>
          <w:sz w:val="24"/>
          <w:szCs w:val="24"/>
        </w:rPr>
        <w:t>Ethos</w:t>
      </w:r>
    </w:p>
    <w:p w14:paraId="19B75F73" w14:textId="0DEAF73A" w:rsidR="001148B2" w:rsidRPr="0088432A" w:rsidRDefault="0088432A">
      <w:pPr>
        <w:pStyle w:val="BodyText"/>
        <w:spacing w:before="182" w:line="261" w:lineRule="auto"/>
        <w:ind w:left="45" w:firstLine="0"/>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z w:val="24"/>
          <w:szCs w:val="24"/>
        </w:rPr>
        <w:t>School</w:t>
      </w:r>
      <w:r w:rsidR="00EF11BC">
        <w:rPr>
          <w:rFonts w:asciiTheme="minorHAnsi" w:hAnsiTheme="minorHAnsi" w:cstheme="minorHAnsi"/>
          <w:color w:val="4F6228" w:themeColor="accent3" w:themeShade="80"/>
          <w:sz w:val="24"/>
          <w:szCs w:val="24"/>
        </w:rPr>
        <w:t>s</w:t>
      </w:r>
      <w:r w:rsidRPr="0088432A">
        <w:rPr>
          <w:rFonts w:asciiTheme="minorHAnsi" w:hAnsiTheme="minorHAnsi" w:cstheme="minorHAnsi"/>
          <w:color w:val="4F6228" w:themeColor="accent3" w:themeShade="80"/>
          <w:sz w:val="24"/>
          <w:szCs w:val="24"/>
        </w:rPr>
        <w:t xml:space="preserve"> within the ACT Trust will ensure that all </w:t>
      </w:r>
      <w:r w:rsidR="00EF11BC">
        <w:rPr>
          <w:rFonts w:asciiTheme="minorHAnsi" w:hAnsiTheme="minorHAnsi" w:cstheme="minorHAnsi"/>
          <w:color w:val="4F6228" w:themeColor="accent3" w:themeShade="80"/>
          <w:sz w:val="24"/>
          <w:szCs w:val="24"/>
        </w:rPr>
        <w:t>pupil</w:t>
      </w:r>
      <w:r w:rsidRPr="0088432A">
        <w:rPr>
          <w:rFonts w:asciiTheme="minorHAnsi" w:hAnsiTheme="minorHAnsi" w:cstheme="minorHAnsi"/>
          <w:color w:val="4F6228" w:themeColor="accent3" w:themeShade="80"/>
          <w:sz w:val="24"/>
          <w:szCs w:val="24"/>
        </w:rPr>
        <w:t xml:space="preserve">s, whatever their special educational needs, receive appropriate educational provision through a broad and balanced curriculum that is relevant and </w:t>
      </w:r>
      <w:r w:rsidRPr="0088432A">
        <w:rPr>
          <w:rFonts w:asciiTheme="minorHAnsi" w:hAnsiTheme="minorHAnsi" w:cstheme="minorHAnsi"/>
          <w:color w:val="4F6228" w:themeColor="accent3" w:themeShade="80"/>
          <w:sz w:val="24"/>
          <w:szCs w:val="24"/>
        </w:rPr>
        <w:lastRenderedPageBreak/>
        <w:t>differentiated</w:t>
      </w:r>
      <w:r w:rsidR="00EF11BC">
        <w:rPr>
          <w:rFonts w:asciiTheme="minorHAnsi" w:hAnsiTheme="minorHAnsi" w:cstheme="minorHAnsi"/>
          <w:color w:val="4F6228" w:themeColor="accent3" w:themeShade="80"/>
          <w:sz w:val="24"/>
          <w:szCs w:val="24"/>
        </w:rPr>
        <w:t>. They will support each child to develop the confidence and ability to participate actively in their communities.</w:t>
      </w:r>
    </w:p>
    <w:p w14:paraId="2AD58630" w14:textId="77777777" w:rsidR="001148B2" w:rsidRPr="0088432A" w:rsidRDefault="0088432A">
      <w:pPr>
        <w:pStyle w:val="Heading2"/>
        <w:spacing w:before="156"/>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pacing w:val="-4"/>
          <w:sz w:val="24"/>
          <w:szCs w:val="24"/>
        </w:rPr>
        <w:t>Aims</w:t>
      </w:r>
    </w:p>
    <w:p w14:paraId="5C8996E2" w14:textId="36C39096" w:rsidR="001148B2" w:rsidRPr="00EF11BC" w:rsidRDefault="00EF11BC" w:rsidP="00EF11BC">
      <w:pPr>
        <w:pStyle w:val="ListParagraph"/>
        <w:numPr>
          <w:ilvl w:val="0"/>
          <w:numId w:val="12"/>
        </w:numPr>
        <w:rPr>
          <w:rFonts w:asciiTheme="minorHAnsi" w:hAnsiTheme="minorHAnsi" w:cstheme="minorHAnsi"/>
          <w:color w:val="4F6228" w:themeColor="accent3" w:themeShade="80"/>
          <w:sz w:val="24"/>
          <w:szCs w:val="24"/>
        </w:rPr>
      </w:pPr>
      <w:r w:rsidRPr="00EF11BC">
        <w:rPr>
          <w:rFonts w:asciiTheme="minorHAnsi" w:hAnsiTheme="minorHAnsi" w:cstheme="minorHAnsi"/>
          <w:color w:val="4F6228" w:themeColor="accent3" w:themeShade="80"/>
          <w:sz w:val="24"/>
          <w:szCs w:val="24"/>
        </w:rPr>
        <w:t xml:space="preserve">Pupils with SEND have equal access to school activities, </w:t>
      </w:r>
      <w:r>
        <w:rPr>
          <w:rFonts w:asciiTheme="minorHAnsi" w:hAnsiTheme="minorHAnsi" w:cstheme="minorHAnsi"/>
          <w:color w:val="4F6228" w:themeColor="accent3" w:themeShade="80"/>
          <w:sz w:val="24"/>
          <w:szCs w:val="24"/>
        </w:rPr>
        <w:t xml:space="preserve">appropriate to their needs and </w:t>
      </w:r>
      <w:r w:rsidRPr="00EF11BC">
        <w:rPr>
          <w:rFonts w:asciiTheme="minorHAnsi" w:hAnsiTheme="minorHAnsi" w:cstheme="minorHAnsi"/>
          <w:color w:val="4F6228" w:themeColor="accent3" w:themeShade="80"/>
          <w:sz w:val="24"/>
          <w:szCs w:val="24"/>
        </w:rPr>
        <w:t>with tailored support to help them thrive and participate fully</w:t>
      </w:r>
    </w:p>
    <w:p w14:paraId="256E45D4" w14:textId="2C398C2E" w:rsidR="001148B2" w:rsidRPr="0088432A" w:rsidRDefault="0088432A">
      <w:pPr>
        <w:pStyle w:val="ListParagraph"/>
        <w:numPr>
          <w:ilvl w:val="0"/>
          <w:numId w:val="2"/>
        </w:numPr>
        <w:tabs>
          <w:tab w:val="left" w:pos="741"/>
        </w:tabs>
        <w:spacing w:before="0" w:line="241" w:lineRule="exact"/>
        <w:ind w:hanging="347"/>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z w:val="24"/>
          <w:szCs w:val="24"/>
        </w:rPr>
        <w:t>High</w:t>
      </w:r>
      <w:r w:rsidRPr="0088432A">
        <w:rPr>
          <w:rFonts w:asciiTheme="minorHAnsi" w:hAnsiTheme="minorHAnsi" w:cstheme="minorHAnsi"/>
          <w:color w:val="4F6228" w:themeColor="accent3" w:themeShade="80"/>
          <w:spacing w:val="4"/>
          <w:sz w:val="24"/>
          <w:szCs w:val="24"/>
        </w:rPr>
        <w:t xml:space="preserve"> </w:t>
      </w:r>
      <w:r w:rsidRPr="0088432A">
        <w:rPr>
          <w:rFonts w:asciiTheme="minorHAnsi" w:hAnsiTheme="minorHAnsi" w:cstheme="minorHAnsi"/>
          <w:color w:val="4F6228" w:themeColor="accent3" w:themeShade="80"/>
          <w:sz w:val="24"/>
          <w:szCs w:val="24"/>
        </w:rPr>
        <w:t>quality</w:t>
      </w:r>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z w:val="24"/>
          <w:szCs w:val="24"/>
        </w:rPr>
        <w:t>teaching</w:t>
      </w:r>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z w:val="24"/>
          <w:szCs w:val="24"/>
        </w:rPr>
        <w:t>that</w:t>
      </w:r>
      <w:r w:rsidRPr="0088432A">
        <w:rPr>
          <w:rFonts w:asciiTheme="minorHAnsi" w:hAnsiTheme="minorHAnsi" w:cstheme="minorHAnsi"/>
          <w:color w:val="4F6228" w:themeColor="accent3" w:themeShade="80"/>
          <w:spacing w:val="8"/>
          <w:sz w:val="24"/>
          <w:szCs w:val="24"/>
        </w:rPr>
        <w:t xml:space="preserve"> </w:t>
      </w:r>
      <w:r w:rsidRPr="0088432A">
        <w:rPr>
          <w:rFonts w:asciiTheme="minorHAnsi" w:hAnsiTheme="minorHAnsi" w:cstheme="minorHAnsi"/>
          <w:color w:val="4F6228" w:themeColor="accent3" w:themeShade="80"/>
          <w:sz w:val="24"/>
          <w:szCs w:val="24"/>
        </w:rPr>
        <w:t>is</w:t>
      </w:r>
      <w:r w:rsidRPr="0088432A">
        <w:rPr>
          <w:rFonts w:asciiTheme="minorHAnsi" w:hAnsiTheme="minorHAnsi" w:cstheme="minorHAnsi"/>
          <w:color w:val="4F6228" w:themeColor="accent3" w:themeShade="80"/>
          <w:spacing w:val="7"/>
          <w:sz w:val="24"/>
          <w:szCs w:val="24"/>
        </w:rPr>
        <w:t xml:space="preserve"> </w:t>
      </w:r>
      <w:r w:rsidRPr="0088432A">
        <w:rPr>
          <w:rFonts w:asciiTheme="minorHAnsi" w:hAnsiTheme="minorHAnsi" w:cstheme="minorHAnsi"/>
          <w:color w:val="4F6228" w:themeColor="accent3" w:themeShade="80"/>
          <w:sz w:val="24"/>
          <w:szCs w:val="24"/>
        </w:rPr>
        <w:t>differentiated</w:t>
      </w:r>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z w:val="24"/>
          <w:szCs w:val="24"/>
        </w:rPr>
        <w:t>and</w:t>
      </w:r>
      <w:r w:rsidRPr="0088432A">
        <w:rPr>
          <w:rFonts w:asciiTheme="minorHAnsi" w:hAnsiTheme="minorHAnsi" w:cstheme="minorHAnsi"/>
          <w:color w:val="4F6228" w:themeColor="accent3" w:themeShade="80"/>
          <w:spacing w:val="3"/>
          <w:sz w:val="24"/>
          <w:szCs w:val="24"/>
        </w:rPr>
        <w:t xml:space="preserve"> </w:t>
      </w:r>
      <w:r w:rsidR="00EF11BC">
        <w:rPr>
          <w:rFonts w:asciiTheme="minorHAnsi" w:hAnsiTheme="minorHAnsi" w:cstheme="minorHAnsi"/>
          <w:color w:val="4F6228" w:themeColor="accent3" w:themeShade="80"/>
          <w:spacing w:val="-2"/>
          <w:sz w:val="24"/>
          <w:szCs w:val="24"/>
        </w:rPr>
        <w:t xml:space="preserve">personalized to the </w:t>
      </w:r>
      <w:proofErr w:type="gramStart"/>
      <w:r w:rsidR="00EF11BC">
        <w:rPr>
          <w:rFonts w:asciiTheme="minorHAnsi" w:hAnsiTheme="minorHAnsi" w:cstheme="minorHAnsi"/>
          <w:color w:val="4F6228" w:themeColor="accent3" w:themeShade="80"/>
          <w:spacing w:val="-2"/>
          <w:sz w:val="24"/>
          <w:szCs w:val="24"/>
        </w:rPr>
        <w:t>pupils</w:t>
      </w:r>
      <w:proofErr w:type="gramEnd"/>
      <w:r w:rsidR="00EF11BC">
        <w:rPr>
          <w:rFonts w:asciiTheme="minorHAnsi" w:hAnsiTheme="minorHAnsi" w:cstheme="minorHAnsi"/>
          <w:color w:val="4F6228" w:themeColor="accent3" w:themeShade="80"/>
          <w:spacing w:val="-2"/>
          <w:sz w:val="24"/>
          <w:szCs w:val="24"/>
        </w:rPr>
        <w:t xml:space="preserve"> stage of development</w:t>
      </w:r>
    </w:p>
    <w:p w14:paraId="127994CF" w14:textId="77777777" w:rsidR="001148B2" w:rsidRPr="0088432A" w:rsidRDefault="0088432A">
      <w:pPr>
        <w:pStyle w:val="ListParagraph"/>
        <w:numPr>
          <w:ilvl w:val="0"/>
          <w:numId w:val="2"/>
        </w:numPr>
        <w:tabs>
          <w:tab w:val="left" w:pos="741"/>
        </w:tabs>
        <w:ind w:hanging="347"/>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z w:val="24"/>
          <w:szCs w:val="24"/>
        </w:rPr>
        <w:t>Promote</w:t>
      </w:r>
      <w:r w:rsidRPr="0088432A">
        <w:rPr>
          <w:rFonts w:asciiTheme="minorHAnsi" w:hAnsiTheme="minorHAnsi" w:cstheme="minorHAnsi"/>
          <w:color w:val="4F6228" w:themeColor="accent3" w:themeShade="80"/>
          <w:spacing w:val="7"/>
          <w:sz w:val="24"/>
          <w:szCs w:val="24"/>
        </w:rPr>
        <w:t xml:space="preserve"> </w:t>
      </w:r>
      <w:r w:rsidRPr="0088432A">
        <w:rPr>
          <w:rFonts w:asciiTheme="minorHAnsi" w:hAnsiTheme="minorHAnsi" w:cstheme="minorHAnsi"/>
          <w:color w:val="4F6228" w:themeColor="accent3" w:themeShade="80"/>
          <w:sz w:val="24"/>
          <w:szCs w:val="24"/>
        </w:rPr>
        <w:t>individual</w:t>
      </w:r>
      <w:r w:rsidRPr="0088432A">
        <w:rPr>
          <w:rFonts w:asciiTheme="minorHAnsi" w:hAnsiTheme="minorHAnsi" w:cstheme="minorHAnsi"/>
          <w:color w:val="4F6228" w:themeColor="accent3" w:themeShade="80"/>
          <w:spacing w:val="9"/>
          <w:sz w:val="24"/>
          <w:szCs w:val="24"/>
        </w:rPr>
        <w:t xml:space="preserve"> </w:t>
      </w:r>
      <w:r w:rsidRPr="0088432A">
        <w:rPr>
          <w:rFonts w:asciiTheme="minorHAnsi" w:hAnsiTheme="minorHAnsi" w:cstheme="minorHAnsi"/>
          <w:color w:val="4F6228" w:themeColor="accent3" w:themeShade="80"/>
          <w:sz w:val="24"/>
          <w:szCs w:val="24"/>
        </w:rPr>
        <w:t>confidence</w:t>
      </w:r>
      <w:r w:rsidRPr="0088432A">
        <w:rPr>
          <w:rFonts w:asciiTheme="minorHAnsi" w:hAnsiTheme="minorHAnsi" w:cstheme="minorHAnsi"/>
          <w:color w:val="4F6228" w:themeColor="accent3" w:themeShade="80"/>
          <w:spacing w:val="7"/>
          <w:sz w:val="24"/>
          <w:szCs w:val="24"/>
        </w:rPr>
        <w:t xml:space="preserve"> </w:t>
      </w:r>
      <w:r w:rsidRPr="0088432A">
        <w:rPr>
          <w:rFonts w:asciiTheme="minorHAnsi" w:hAnsiTheme="minorHAnsi" w:cstheme="minorHAnsi"/>
          <w:color w:val="4F6228" w:themeColor="accent3" w:themeShade="80"/>
          <w:sz w:val="24"/>
          <w:szCs w:val="24"/>
        </w:rPr>
        <w:t>and</w:t>
      </w:r>
      <w:r w:rsidRPr="0088432A">
        <w:rPr>
          <w:rFonts w:asciiTheme="minorHAnsi" w:hAnsiTheme="minorHAnsi" w:cstheme="minorHAnsi"/>
          <w:color w:val="4F6228" w:themeColor="accent3" w:themeShade="80"/>
          <w:spacing w:val="7"/>
          <w:sz w:val="24"/>
          <w:szCs w:val="24"/>
        </w:rPr>
        <w:t xml:space="preserve"> </w:t>
      </w:r>
      <w:r w:rsidRPr="0088432A">
        <w:rPr>
          <w:rFonts w:asciiTheme="minorHAnsi" w:hAnsiTheme="minorHAnsi" w:cstheme="minorHAnsi"/>
          <w:color w:val="4F6228" w:themeColor="accent3" w:themeShade="80"/>
          <w:sz w:val="24"/>
          <w:szCs w:val="24"/>
        </w:rPr>
        <w:t>a</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positive</w:t>
      </w:r>
      <w:r w:rsidRPr="0088432A">
        <w:rPr>
          <w:rFonts w:asciiTheme="minorHAnsi" w:hAnsiTheme="minorHAnsi" w:cstheme="minorHAnsi"/>
          <w:color w:val="4F6228" w:themeColor="accent3" w:themeShade="80"/>
          <w:spacing w:val="7"/>
          <w:sz w:val="24"/>
          <w:szCs w:val="24"/>
        </w:rPr>
        <w:t xml:space="preserve"> </w:t>
      </w:r>
      <w:r w:rsidRPr="0088432A">
        <w:rPr>
          <w:rFonts w:asciiTheme="minorHAnsi" w:hAnsiTheme="minorHAnsi" w:cstheme="minorHAnsi"/>
          <w:color w:val="4F6228" w:themeColor="accent3" w:themeShade="80"/>
          <w:sz w:val="24"/>
          <w:szCs w:val="24"/>
        </w:rPr>
        <w:t>attitude</w:t>
      </w:r>
      <w:r w:rsidRPr="0088432A">
        <w:rPr>
          <w:rFonts w:asciiTheme="minorHAnsi" w:hAnsiTheme="minorHAnsi" w:cstheme="minorHAnsi"/>
          <w:color w:val="4F6228" w:themeColor="accent3" w:themeShade="80"/>
          <w:spacing w:val="7"/>
          <w:sz w:val="24"/>
          <w:szCs w:val="24"/>
        </w:rPr>
        <w:t xml:space="preserve"> </w:t>
      </w:r>
      <w:r w:rsidRPr="0088432A">
        <w:rPr>
          <w:rFonts w:asciiTheme="minorHAnsi" w:hAnsiTheme="minorHAnsi" w:cstheme="minorHAnsi"/>
          <w:color w:val="4F6228" w:themeColor="accent3" w:themeShade="80"/>
          <w:sz w:val="24"/>
          <w:szCs w:val="24"/>
        </w:rPr>
        <w:t>towards</w:t>
      </w:r>
      <w:r w:rsidRPr="0088432A">
        <w:rPr>
          <w:rFonts w:asciiTheme="minorHAnsi" w:hAnsiTheme="minorHAnsi" w:cstheme="minorHAnsi"/>
          <w:color w:val="4F6228" w:themeColor="accent3" w:themeShade="80"/>
          <w:spacing w:val="7"/>
          <w:sz w:val="24"/>
          <w:szCs w:val="24"/>
        </w:rPr>
        <w:t xml:space="preserve"> </w:t>
      </w:r>
      <w:r w:rsidRPr="0088432A">
        <w:rPr>
          <w:rFonts w:asciiTheme="minorHAnsi" w:hAnsiTheme="minorHAnsi" w:cstheme="minorHAnsi"/>
          <w:color w:val="4F6228" w:themeColor="accent3" w:themeShade="80"/>
          <w:spacing w:val="-2"/>
          <w:sz w:val="24"/>
          <w:szCs w:val="24"/>
        </w:rPr>
        <w:t>learning</w:t>
      </w:r>
    </w:p>
    <w:p w14:paraId="4E3610F5" w14:textId="77777777" w:rsidR="0088432A" w:rsidRPr="0088432A" w:rsidRDefault="0088432A" w:rsidP="0088432A">
      <w:pPr>
        <w:pStyle w:val="ListParagraph"/>
        <w:numPr>
          <w:ilvl w:val="0"/>
          <w:numId w:val="2"/>
        </w:numPr>
        <w:tabs>
          <w:tab w:val="left" w:pos="741"/>
        </w:tabs>
        <w:spacing w:before="23" w:line="261" w:lineRule="auto"/>
        <w:ind w:right="301"/>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z w:val="24"/>
          <w:szCs w:val="24"/>
        </w:rPr>
        <w:t>Develop a close partnership with families, so that their knowledge, views and experience can help support needs and individual requirements</w:t>
      </w:r>
    </w:p>
    <w:p w14:paraId="29C62ABF" w14:textId="2DB685C1" w:rsidR="0088432A" w:rsidRPr="0088432A" w:rsidRDefault="0088432A" w:rsidP="0088432A">
      <w:pPr>
        <w:pStyle w:val="ListParagraph"/>
        <w:numPr>
          <w:ilvl w:val="0"/>
          <w:numId w:val="2"/>
        </w:numPr>
        <w:tabs>
          <w:tab w:val="left" w:pos="741"/>
        </w:tabs>
        <w:spacing w:before="23" w:line="261" w:lineRule="auto"/>
        <w:ind w:right="301"/>
        <w:rPr>
          <w:rFonts w:asciiTheme="minorHAnsi" w:hAnsiTheme="minorHAnsi" w:cstheme="minorHAnsi"/>
          <w:color w:val="4F6228" w:themeColor="accent3" w:themeShade="80"/>
          <w:sz w:val="24"/>
          <w:szCs w:val="24"/>
        </w:rPr>
      </w:pPr>
      <w:r w:rsidRPr="0088432A">
        <w:rPr>
          <w:rFonts w:asciiTheme="minorHAnsi" w:eastAsia="Times New Roman" w:hAnsiTheme="minorHAnsi" w:cstheme="minorHAnsi"/>
          <w:color w:val="4F6228" w:themeColor="accent3" w:themeShade="80"/>
          <w:sz w:val="24"/>
          <w:szCs w:val="24"/>
          <w:lang w:val="en-GB" w:eastAsia="en-GB"/>
        </w:rPr>
        <w:t xml:space="preserve">To ensure that the responsibility held by all staff, governors, and trustees for SEND is implemented and maintained. </w:t>
      </w:r>
    </w:p>
    <w:p w14:paraId="0B11DD03" w14:textId="52F8AD56" w:rsidR="0088432A" w:rsidRPr="0088432A" w:rsidRDefault="0088432A" w:rsidP="0088432A">
      <w:pPr>
        <w:pStyle w:val="ListParagraph"/>
        <w:numPr>
          <w:ilvl w:val="0"/>
          <w:numId w:val="2"/>
        </w:numPr>
        <w:tabs>
          <w:tab w:val="left" w:pos="741"/>
        </w:tabs>
        <w:spacing w:before="23" w:line="261" w:lineRule="auto"/>
        <w:ind w:right="301"/>
        <w:rPr>
          <w:rFonts w:asciiTheme="minorHAnsi" w:hAnsiTheme="minorHAnsi" w:cstheme="minorHAnsi"/>
          <w:color w:val="4F6228" w:themeColor="accent3" w:themeShade="80"/>
          <w:sz w:val="24"/>
          <w:szCs w:val="24"/>
        </w:rPr>
      </w:pPr>
      <w:r w:rsidRPr="0088432A">
        <w:rPr>
          <w:rFonts w:asciiTheme="minorHAnsi" w:eastAsia="Times New Roman" w:hAnsiTheme="minorHAnsi" w:cstheme="minorHAnsi"/>
          <w:color w:val="4F6228" w:themeColor="accent3" w:themeShade="80"/>
          <w:sz w:val="24"/>
          <w:szCs w:val="24"/>
          <w:lang w:val="en-GB" w:eastAsia="en-GB"/>
        </w:rPr>
        <w:t xml:space="preserve">To ensure that the Trust’s approach to SEND is inclusive and intersectional, addressing all forms of disadvantage, including EAL, MEG, Pupil Premium, Looked After Children, </w:t>
      </w:r>
      <w:r w:rsidR="00EF11BC">
        <w:rPr>
          <w:rFonts w:asciiTheme="minorHAnsi" w:eastAsia="Times New Roman" w:hAnsiTheme="minorHAnsi" w:cstheme="minorHAnsi"/>
          <w:color w:val="4F6228" w:themeColor="accent3" w:themeShade="80"/>
          <w:sz w:val="24"/>
          <w:szCs w:val="24"/>
          <w:lang w:val="en-GB" w:eastAsia="en-GB"/>
        </w:rPr>
        <w:t xml:space="preserve">Services, GRT </w:t>
      </w:r>
      <w:r w:rsidRPr="0088432A">
        <w:rPr>
          <w:rFonts w:asciiTheme="minorHAnsi" w:eastAsia="Times New Roman" w:hAnsiTheme="minorHAnsi" w:cstheme="minorHAnsi"/>
          <w:color w:val="4F6228" w:themeColor="accent3" w:themeShade="80"/>
          <w:sz w:val="24"/>
          <w:szCs w:val="24"/>
          <w:lang w:val="en-GB" w:eastAsia="en-GB"/>
        </w:rPr>
        <w:t>and LGBTQ+</w:t>
      </w:r>
    </w:p>
    <w:p w14:paraId="284DFC4C" w14:textId="77777777" w:rsidR="001148B2" w:rsidRPr="0088432A" w:rsidRDefault="0088432A">
      <w:pPr>
        <w:pStyle w:val="Heading2"/>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pacing w:val="-2"/>
          <w:sz w:val="24"/>
          <w:szCs w:val="24"/>
        </w:rPr>
        <w:t>Expectations</w:t>
      </w:r>
    </w:p>
    <w:p w14:paraId="52D4A9AE" w14:textId="391CEF27" w:rsidR="001148B2" w:rsidRPr="0088432A" w:rsidRDefault="0088432A">
      <w:pPr>
        <w:pStyle w:val="ListParagraph"/>
        <w:numPr>
          <w:ilvl w:val="0"/>
          <w:numId w:val="2"/>
        </w:numPr>
        <w:tabs>
          <w:tab w:val="left" w:pos="741"/>
        </w:tabs>
        <w:spacing w:before="181" w:line="264" w:lineRule="auto"/>
        <w:ind w:right="443" w:hanging="349"/>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z w:val="24"/>
          <w:szCs w:val="24"/>
        </w:rPr>
        <w:t xml:space="preserve">Members of staff are responsible for ensuring that every </w:t>
      </w:r>
      <w:r w:rsidR="00EF11BC">
        <w:rPr>
          <w:rFonts w:asciiTheme="minorHAnsi" w:hAnsiTheme="minorHAnsi" w:cstheme="minorHAnsi"/>
          <w:color w:val="4F6228" w:themeColor="accent3" w:themeShade="80"/>
          <w:sz w:val="24"/>
          <w:szCs w:val="24"/>
        </w:rPr>
        <w:t>pupil</w:t>
      </w:r>
      <w:r w:rsidRPr="0088432A">
        <w:rPr>
          <w:rFonts w:asciiTheme="minorHAnsi" w:hAnsiTheme="minorHAnsi" w:cstheme="minorHAnsi"/>
          <w:color w:val="4F6228" w:themeColor="accent3" w:themeShade="80"/>
          <w:sz w:val="24"/>
          <w:szCs w:val="24"/>
        </w:rPr>
        <w:t xml:space="preserve"> has an equal opportunity to attain their maximum potential in all aspects of the curriculum</w:t>
      </w:r>
    </w:p>
    <w:p w14:paraId="437E4949" w14:textId="3A7A45E7" w:rsidR="001148B2" w:rsidRPr="0088432A" w:rsidRDefault="0088432A">
      <w:pPr>
        <w:pStyle w:val="ListParagraph"/>
        <w:numPr>
          <w:ilvl w:val="0"/>
          <w:numId w:val="2"/>
        </w:numPr>
        <w:tabs>
          <w:tab w:val="left" w:pos="741"/>
        </w:tabs>
        <w:spacing w:before="0" w:line="244" w:lineRule="exact"/>
        <w:ind w:hanging="347"/>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z w:val="24"/>
          <w:szCs w:val="24"/>
        </w:rPr>
        <w:t>Schools</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will</w:t>
      </w:r>
      <w:r w:rsidRPr="0088432A">
        <w:rPr>
          <w:rFonts w:asciiTheme="minorHAnsi" w:hAnsiTheme="minorHAnsi" w:cstheme="minorHAnsi"/>
          <w:color w:val="4F6228" w:themeColor="accent3" w:themeShade="80"/>
          <w:spacing w:val="8"/>
          <w:sz w:val="24"/>
          <w:szCs w:val="24"/>
        </w:rPr>
        <w:t xml:space="preserve"> </w:t>
      </w:r>
      <w:r w:rsidRPr="0088432A">
        <w:rPr>
          <w:rFonts w:asciiTheme="minorHAnsi" w:hAnsiTheme="minorHAnsi" w:cstheme="minorHAnsi"/>
          <w:color w:val="4F6228" w:themeColor="accent3" w:themeShade="80"/>
          <w:sz w:val="24"/>
          <w:szCs w:val="24"/>
        </w:rPr>
        <w:t>identify,</w:t>
      </w:r>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z w:val="24"/>
          <w:szCs w:val="24"/>
        </w:rPr>
        <w:t>assess,</w:t>
      </w:r>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z w:val="24"/>
          <w:szCs w:val="24"/>
        </w:rPr>
        <w:t>record,</w:t>
      </w:r>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z w:val="24"/>
          <w:szCs w:val="24"/>
        </w:rPr>
        <w:t>and</w:t>
      </w:r>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z w:val="24"/>
          <w:szCs w:val="24"/>
        </w:rPr>
        <w:t>regularly</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review</w:t>
      </w:r>
      <w:r w:rsidRPr="0088432A">
        <w:rPr>
          <w:rFonts w:asciiTheme="minorHAnsi" w:hAnsiTheme="minorHAnsi" w:cstheme="minorHAnsi"/>
          <w:color w:val="4F6228" w:themeColor="accent3" w:themeShade="80"/>
          <w:spacing w:val="6"/>
          <w:sz w:val="24"/>
          <w:szCs w:val="24"/>
        </w:rPr>
        <w:t xml:space="preserve"> </w:t>
      </w:r>
      <w:r w:rsidR="00EF11BC">
        <w:rPr>
          <w:rFonts w:asciiTheme="minorHAnsi" w:hAnsiTheme="minorHAnsi" w:cstheme="minorHAnsi"/>
          <w:color w:val="4F6228" w:themeColor="accent3" w:themeShade="80"/>
          <w:sz w:val="24"/>
          <w:szCs w:val="24"/>
        </w:rPr>
        <w:t>pupil</w:t>
      </w:r>
      <w:r w:rsidRPr="0088432A">
        <w:rPr>
          <w:rFonts w:asciiTheme="minorHAnsi" w:hAnsiTheme="minorHAnsi" w:cstheme="minorHAnsi"/>
          <w:color w:val="4F6228" w:themeColor="accent3" w:themeShade="80"/>
          <w:sz w:val="24"/>
          <w:szCs w:val="24"/>
        </w:rPr>
        <w:t>s’</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progress</w:t>
      </w:r>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z w:val="24"/>
          <w:szCs w:val="24"/>
        </w:rPr>
        <w:t>and</w:t>
      </w:r>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pacing w:val="-2"/>
          <w:sz w:val="24"/>
          <w:szCs w:val="24"/>
        </w:rPr>
        <w:t>needs</w:t>
      </w:r>
    </w:p>
    <w:p w14:paraId="5ECE3D86" w14:textId="77777777" w:rsidR="001148B2" w:rsidRPr="0088432A" w:rsidRDefault="0088432A">
      <w:pPr>
        <w:pStyle w:val="ListParagraph"/>
        <w:numPr>
          <w:ilvl w:val="0"/>
          <w:numId w:val="2"/>
        </w:numPr>
        <w:tabs>
          <w:tab w:val="left" w:pos="742"/>
        </w:tabs>
        <w:spacing w:line="261" w:lineRule="auto"/>
        <w:ind w:left="742" w:right="82"/>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z w:val="24"/>
          <w:szCs w:val="24"/>
        </w:rPr>
        <w:t>Schools will ensure that the responsibility held by all staff and governors for SEND is implemented and maintained</w:t>
      </w:r>
    </w:p>
    <w:p w14:paraId="291B2CE0" w14:textId="68D3B0EB" w:rsidR="001148B2" w:rsidRPr="0088432A" w:rsidRDefault="0088432A">
      <w:pPr>
        <w:pStyle w:val="ListParagraph"/>
        <w:numPr>
          <w:ilvl w:val="0"/>
          <w:numId w:val="2"/>
        </w:numPr>
        <w:tabs>
          <w:tab w:val="left" w:pos="742"/>
        </w:tabs>
        <w:spacing w:before="1"/>
        <w:ind w:left="742"/>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z w:val="24"/>
          <w:szCs w:val="24"/>
        </w:rPr>
        <w:t>Qualified</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SENDCo</w:t>
      </w:r>
      <w:r w:rsidRPr="0088432A">
        <w:rPr>
          <w:rFonts w:asciiTheme="minorHAnsi" w:hAnsiTheme="minorHAnsi" w:cstheme="minorHAnsi"/>
          <w:color w:val="4F6228" w:themeColor="accent3" w:themeShade="80"/>
          <w:spacing w:val="7"/>
          <w:sz w:val="24"/>
          <w:szCs w:val="24"/>
        </w:rPr>
        <w:t xml:space="preserve"> </w:t>
      </w:r>
      <w:r w:rsidRPr="0088432A">
        <w:rPr>
          <w:rFonts w:asciiTheme="minorHAnsi" w:hAnsiTheme="minorHAnsi" w:cstheme="minorHAnsi"/>
          <w:color w:val="4F6228" w:themeColor="accent3" w:themeShade="80"/>
          <w:sz w:val="24"/>
          <w:szCs w:val="24"/>
        </w:rPr>
        <w:t>in</w:t>
      </w:r>
      <w:r w:rsidRPr="0088432A">
        <w:rPr>
          <w:rFonts w:asciiTheme="minorHAnsi" w:hAnsiTheme="minorHAnsi" w:cstheme="minorHAnsi"/>
          <w:color w:val="4F6228" w:themeColor="accent3" w:themeShade="80"/>
          <w:spacing w:val="7"/>
          <w:sz w:val="24"/>
          <w:szCs w:val="24"/>
        </w:rPr>
        <w:t xml:space="preserve"> </w:t>
      </w:r>
      <w:r w:rsidRPr="0088432A">
        <w:rPr>
          <w:rFonts w:asciiTheme="minorHAnsi" w:hAnsiTheme="minorHAnsi" w:cstheme="minorHAnsi"/>
          <w:color w:val="4F6228" w:themeColor="accent3" w:themeShade="80"/>
          <w:sz w:val="24"/>
          <w:szCs w:val="24"/>
        </w:rPr>
        <w:t>each</w:t>
      </w:r>
      <w:r w:rsidRPr="0088432A">
        <w:rPr>
          <w:rFonts w:asciiTheme="minorHAnsi" w:hAnsiTheme="minorHAnsi" w:cstheme="minorHAnsi"/>
          <w:color w:val="4F6228" w:themeColor="accent3" w:themeShade="80"/>
          <w:spacing w:val="8"/>
          <w:sz w:val="24"/>
          <w:szCs w:val="24"/>
        </w:rPr>
        <w:t xml:space="preserve"> </w:t>
      </w:r>
      <w:r w:rsidRPr="0088432A">
        <w:rPr>
          <w:rFonts w:asciiTheme="minorHAnsi" w:hAnsiTheme="minorHAnsi" w:cstheme="minorHAnsi"/>
          <w:color w:val="4F6228" w:themeColor="accent3" w:themeShade="80"/>
          <w:spacing w:val="-2"/>
          <w:sz w:val="24"/>
          <w:szCs w:val="24"/>
        </w:rPr>
        <w:t>school/academy who is a member of SLT and a trained DSL</w:t>
      </w:r>
    </w:p>
    <w:p w14:paraId="12955622" w14:textId="7CB2A284" w:rsidR="001148B2" w:rsidRPr="0088432A" w:rsidRDefault="0088432A">
      <w:pPr>
        <w:pStyle w:val="ListParagraph"/>
        <w:numPr>
          <w:ilvl w:val="0"/>
          <w:numId w:val="2"/>
        </w:numPr>
        <w:tabs>
          <w:tab w:val="left" w:pos="742"/>
        </w:tabs>
        <w:spacing w:before="22"/>
        <w:ind w:left="742"/>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z w:val="24"/>
          <w:szCs w:val="24"/>
        </w:rPr>
        <w:t>Review</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SEND</w:t>
      </w:r>
      <w:r w:rsidRPr="0088432A">
        <w:rPr>
          <w:rFonts w:asciiTheme="minorHAnsi" w:hAnsiTheme="minorHAnsi" w:cstheme="minorHAnsi"/>
          <w:color w:val="4F6228" w:themeColor="accent3" w:themeShade="80"/>
          <w:spacing w:val="7"/>
          <w:sz w:val="24"/>
          <w:szCs w:val="24"/>
        </w:rPr>
        <w:t xml:space="preserve"> Information report</w:t>
      </w:r>
      <w:r w:rsidRPr="0088432A">
        <w:rPr>
          <w:rFonts w:asciiTheme="minorHAnsi" w:hAnsiTheme="minorHAnsi" w:cstheme="minorHAnsi"/>
          <w:color w:val="4F6228" w:themeColor="accent3" w:themeShade="80"/>
          <w:spacing w:val="9"/>
          <w:sz w:val="24"/>
          <w:szCs w:val="24"/>
        </w:rPr>
        <w:t xml:space="preserve"> </w:t>
      </w:r>
      <w:r w:rsidRPr="0088432A">
        <w:rPr>
          <w:rFonts w:asciiTheme="minorHAnsi" w:hAnsiTheme="minorHAnsi" w:cstheme="minorHAnsi"/>
          <w:color w:val="4F6228" w:themeColor="accent3" w:themeShade="80"/>
          <w:spacing w:val="-2"/>
          <w:sz w:val="24"/>
          <w:szCs w:val="24"/>
        </w:rPr>
        <w:t>annually and report to their Trust Local Governing Body</w:t>
      </w:r>
    </w:p>
    <w:p w14:paraId="41906C64" w14:textId="77777777" w:rsidR="0088432A" w:rsidRPr="0088432A" w:rsidRDefault="0088432A" w:rsidP="0088432A">
      <w:pPr>
        <w:widowControl/>
        <w:autoSpaceDE/>
        <w:autoSpaceDN/>
        <w:spacing w:before="100" w:beforeAutospacing="1" w:after="100" w:afterAutospacing="1"/>
        <w:rPr>
          <w:rFonts w:asciiTheme="minorHAnsi" w:eastAsia="Times New Roman" w:hAnsiTheme="minorHAnsi" w:cstheme="minorHAnsi"/>
          <w:color w:val="4F6228" w:themeColor="accent3" w:themeShade="80"/>
          <w:sz w:val="24"/>
          <w:szCs w:val="24"/>
          <w:lang w:val="en-GB" w:eastAsia="en-GB"/>
        </w:rPr>
      </w:pPr>
      <w:r w:rsidRPr="0088432A">
        <w:rPr>
          <w:rFonts w:asciiTheme="minorHAnsi" w:eastAsia="Times New Roman" w:hAnsiTheme="minorHAnsi" w:cstheme="minorHAnsi"/>
          <w:b/>
          <w:bCs/>
          <w:color w:val="4F6228" w:themeColor="accent3" w:themeShade="80"/>
          <w:sz w:val="24"/>
          <w:szCs w:val="24"/>
          <w:lang w:val="en-GB" w:eastAsia="en-GB"/>
        </w:rPr>
        <w:t>Inclusion, Equity, and Intersectionality</w:t>
      </w:r>
    </w:p>
    <w:p w14:paraId="7B13AF73" w14:textId="3D71A73D" w:rsidR="0088432A" w:rsidRPr="0088432A" w:rsidRDefault="0088432A" w:rsidP="0088432A">
      <w:pPr>
        <w:widowControl/>
        <w:numPr>
          <w:ilvl w:val="0"/>
          <w:numId w:val="7"/>
        </w:numPr>
        <w:autoSpaceDE/>
        <w:autoSpaceDN/>
        <w:spacing w:before="100" w:beforeAutospacing="1" w:after="100" w:afterAutospacing="1"/>
        <w:rPr>
          <w:rFonts w:asciiTheme="minorHAnsi" w:eastAsia="Times New Roman" w:hAnsiTheme="minorHAnsi" w:cstheme="minorHAnsi"/>
          <w:color w:val="4F6228" w:themeColor="accent3" w:themeShade="80"/>
          <w:sz w:val="24"/>
          <w:szCs w:val="24"/>
          <w:lang w:val="en-GB" w:eastAsia="en-GB"/>
        </w:rPr>
      </w:pPr>
      <w:r w:rsidRPr="0088432A">
        <w:rPr>
          <w:rFonts w:asciiTheme="minorHAnsi" w:eastAsia="Times New Roman" w:hAnsiTheme="minorHAnsi" w:cstheme="minorHAnsi"/>
          <w:color w:val="4F6228" w:themeColor="accent3" w:themeShade="80"/>
          <w:sz w:val="24"/>
          <w:szCs w:val="24"/>
          <w:lang w:val="en-GB" w:eastAsia="en-GB"/>
        </w:rPr>
        <w:t>The Trust is committed to inclusion and equity, recognising intersectionality and ensuring support for all pupils, including those who are EAL, MEG, eligible for Pupil Premium, Looked After Children,</w:t>
      </w:r>
      <w:r w:rsidR="00EF11BC">
        <w:rPr>
          <w:rFonts w:asciiTheme="minorHAnsi" w:eastAsia="Times New Roman" w:hAnsiTheme="minorHAnsi" w:cstheme="minorHAnsi"/>
          <w:color w:val="4F6228" w:themeColor="accent3" w:themeShade="80"/>
          <w:sz w:val="24"/>
          <w:szCs w:val="24"/>
          <w:lang w:val="en-GB" w:eastAsia="en-GB"/>
        </w:rPr>
        <w:t xml:space="preserve"> Services, GRT</w:t>
      </w:r>
      <w:r w:rsidRPr="0088432A">
        <w:rPr>
          <w:rFonts w:asciiTheme="minorHAnsi" w:eastAsia="Times New Roman" w:hAnsiTheme="minorHAnsi" w:cstheme="minorHAnsi"/>
          <w:color w:val="4F6228" w:themeColor="accent3" w:themeShade="80"/>
          <w:sz w:val="24"/>
          <w:szCs w:val="24"/>
          <w:lang w:val="en-GB" w:eastAsia="en-GB"/>
        </w:rPr>
        <w:t xml:space="preserve"> and LGBTQ+</w:t>
      </w:r>
    </w:p>
    <w:p w14:paraId="39D3B2CD" w14:textId="07C7E305" w:rsidR="0088432A" w:rsidRPr="0088432A" w:rsidRDefault="0088432A" w:rsidP="0088432A">
      <w:pPr>
        <w:widowControl/>
        <w:autoSpaceDE/>
        <w:autoSpaceDN/>
        <w:spacing w:before="100" w:beforeAutospacing="1" w:after="100" w:afterAutospacing="1"/>
        <w:rPr>
          <w:rFonts w:asciiTheme="minorHAnsi" w:eastAsia="Times New Roman" w:hAnsiTheme="minorHAnsi" w:cstheme="minorHAnsi"/>
          <w:color w:val="4F6228" w:themeColor="accent3" w:themeShade="80"/>
          <w:sz w:val="24"/>
          <w:szCs w:val="24"/>
          <w:lang w:val="en-GB" w:eastAsia="en-GB"/>
        </w:rPr>
      </w:pPr>
      <w:r w:rsidRPr="0088432A">
        <w:rPr>
          <w:rFonts w:asciiTheme="minorHAnsi" w:eastAsia="Times New Roman" w:hAnsiTheme="minorHAnsi" w:cstheme="minorHAnsi"/>
          <w:b/>
          <w:bCs/>
          <w:color w:val="4F6228" w:themeColor="accent3" w:themeShade="80"/>
          <w:sz w:val="24"/>
          <w:szCs w:val="24"/>
          <w:lang w:val="en-GB" w:eastAsia="en-GB"/>
        </w:rPr>
        <w:t>Graduated Approach and APDR Cycle</w:t>
      </w:r>
    </w:p>
    <w:p w14:paraId="083E5F20" w14:textId="30B54BF2" w:rsidR="00BD13F1" w:rsidRPr="0088432A" w:rsidRDefault="0088432A" w:rsidP="00BD13F1">
      <w:pPr>
        <w:widowControl/>
        <w:numPr>
          <w:ilvl w:val="0"/>
          <w:numId w:val="5"/>
        </w:numPr>
        <w:autoSpaceDE/>
        <w:autoSpaceDN/>
        <w:spacing w:before="100" w:beforeAutospacing="1" w:after="100" w:afterAutospacing="1"/>
        <w:rPr>
          <w:rFonts w:asciiTheme="minorHAnsi" w:eastAsia="Times New Roman" w:hAnsiTheme="minorHAnsi" w:cstheme="minorHAnsi"/>
          <w:color w:val="4F6228" w:themeColor="accent3" w:themeShade="80"/>
          <w:sz w:val="24"/>
          <w:szCs w:val="24"/>
          <w:lang w:val="en-GB" w:eastAsia="en-GB"/>
        </w:rPr>
      </w:pPr>
      <w:r w:rsidRPr="0088432A">
        <w:rPr>
          <w:rFonts w:asciiTheme="minorHAnsi" w:eastAsia="Times New Roman" w:hAnsiTheme="minorHAnsi" w:cstheme="minorHAnsi"/>
          <w:color w:val="4F6228" w:themeColor="accent3" w:themeShade="80"/>
          <w:sz w:val="24"/>
          <w:szCs w:val="24"/>
          <w:lang w:val="en-GB" w:eastAsia="en-GB"/>
        </w:rPr>
        <w:t xml:space="preserve">All ACT Trust schools follow the graduated approach to SEND, </w:t>
      </w:r>
      <w:r w:rsidR="00EF11BC">
        <w:rPr>
          <w:rFonts w:asciiTheme="minorHAnsi" w:eastAsia="Times New Roman" w:hAnsiTheme="minorHAnsi" w:cstheme="minorHAnsi"/>
          <w:color w:val="4F6228" w:themeColor="accent3" w:themeShade="80"/>
          <w:sz w:val="24"/>
          <w:szCs w:val="24"/>
          <w:lang w:val="en-GB" w:eastAsia="en-GB"/>
        </w:rPr>
        <w:t xml:space="preserve">with all </w:t>
      </w:r>
      <w:r w:rsidR="000161C7">
        <w:rPr>
          <w:rFonts w:asciiTheme="minorHAnsi" w:eastAsia="Times New Roman" w:hAnsiTheme="minorHAnsi" w:cstheme="minorHAnsi"/>
          <w:color w:val="4F6228" w:themeColor="accent3" w:themeShade="80"/>
          <w:sz w:val="24"/>
          <w:szCs w:val="24"/>
          <w:lang w:val="en-GB" w:eastAsia="en-GB"/>
        </w:rPr>
        <w:t>Send pupils</w:t>
      </w:r>
      <w:r w:rsidR="00EF11BC">
        <w:rPr>
          <w:rFonts w:asciiTheme="minorHAnsi" w:eastAsia="Times New Roman" w:hAnsiTheme="minorHAnsi" w:cstheme="minorHAnsi"/>
          <w:color w:val="4F6228" w:themeColor="accent3" w:themeShade="80"/>
          <w:sz w:val="24"/>
          <w:szCs w:val="24"/>
          <w:lang w:val="en-GB" w:eastAsia="en-GB"/>
        </w:rPr>
        <w:t xml:space="preserve"> having their own Individua</w:t>
      </w:r>
      <w:r w:rsidR="000161C7">
        <w:rPr>
          <w:rFonts w:asciiTheme="minorHAnsi" w:eastAsia="Times New Roman" w:hAnsiTheme="minorHAnsi" w:cstheme="minorHAnsi"/>
          <w:color w:val="4F6228" w:themeColor="accent3" w:themeShade="80"/>
          <w:sz w:val="24"/>
          <w:szCs w:val="24"/>
          <w:lang w:val="en-GB" w:eastAsia="en-GB"/>
        </w:rPr>
        <w:t>l</w:t>
      </w:r>
      <w:r w:rsidR="00EF11BC">
        <w:rPr>
          <w:rFonts w:asciiTheme="minorHAnsi" w:eastAsia="Times New Roman" w:hAnsiTheme="minorHAnsi" w:cstheme="minorHAnsi"/>
          <w:color w:val="4F6228" w:themeColor="accent3" w:themeShade="80"/>
          <w:sz w:val="24"/>
          <w:szCs w:val="24"/>
          <w:lang w:val="en-GB" w:eastAsia="en-GB"/>
        </w:rPr>
        <w:t xml:space="preserve"> Support Plans (ISPs)</w:t>
      </w:r>
      <w:r w:rsidR="000161C7">
        <w:rPr>
          <w:rFonts w:asciiTheme="minorHAnsi" w:eastAsia="Times New Roman" w:hAnsiTheme="minorHAnsi" w:cstheme="minorHAnsi"/>
          <w:color w:val="4F6228" w:themeColor="accent3" w:themeShade="80"/>
          <w:sz w:val="24"/>
          <w:szCs w:val="24"/>
          <w:lang w:val="en-GB" w:eastAsia="en-GB"/>
        </w:rPr>
        <w:t xml:space="preserve"> </w:t>
      </w:r>
      <w:r w:rsidRPr="0088432A">
        <w:rPr>
          <w:rFonts w:asciiTheme="minorHAnsi" w:eastAsia="Times New Roman" w:hAnsiTheme="minorHAnsi" w:cstheme="minorHAnsi"/>
          <w:color w:val="4F6228" w:themeColor="accent3" w:themeShade="80"/>
          <w:sz w:val="24"/>
          <w:szCs w:val="24"/>
          <w:lang w:val="en-GB" w:eastAsia="en-GB"/>
        </w:rPr>
        <w:t>using the Assess, Plan, Do, Review (APDR) cycle to ensure provision is regularly reviewed and refined. This process ensures that support is tailored and responsive to each pupil’s needs.</w:t>
      </w:r>
    </w:p>
    <w:p w14:paraId="76EBC047" w14:textId="77777777" w:rsidR="0088432A" w:rsidRPr="0088432A" w:rsidRDefault="0088432A" w:rsidP="0088432A">
      <w:pPr>
        <w:rPr>
          <w:rFonts w:asciiTheme="minorHAnsi" w:hAnsiTheme="minorHAnsi" w:cstheme="minorHAnsi"/>
          <w:color w:val="4F6228" w:themeColor="accent3" w:themeShade="80"/>
          <w:sz w:val="24"/>
          <w:szCs w:val="24"/>
          <w:lang w:val="en-GB"/>
        </w:rPr>
      </w:pPr>
      <w:r w:rsidRPr="0088432A">
        <w:rPr>
          <w:rFonts w:asciiTheme="minorHAnsi" w:hAnsiTheme="minorHAnsi" w:cstheme="minorHAnsi"/>
          <w:b/>
          <w:bCs/>
          <w:color w:val="4F6228" w:themeColor="accent3" w:themeShade="80"/>
          <w:sz w:val="24"/>
          <w:szCs w:val="24"/>
          <w:lang w:val="en-GB"/>
        </w:rPr>
        <w:t>Roles and Responsibilities</w:t>
      </w:r>
    </w:p>
    <w:p w14:paraId="4D3C657E" w14:textId="77777777" w:rsidR="0088432A" w:rsidRPr="0088432A" w:rsidRDefault="0088432A" w:rsidP="0088432A">
      <w:pPr>
        <w:numPr>
          <w:ilvl w:val="0"/>
          <w:numId w:val="6"/>
        </w:numPr>
        <w:rPr>
          <w:rFonts w:asciiTheme="minorHAnsi" w:hAnsiTheme="minorHAnsi" w:cstheme="minorHAnsi"/>
          <w:color w:val="4F6228" w:themeColor="accent3" w:themeShade="80"/>
          <w:sz w:val="24"/>
          <w:szCs w:val="24"/>
          <w:lang w:val="en-GB"/>
        </w:rPr>
      </w:pPr>
      <w:r w:rsidRPr="0088432A">
        <w:rPr>
          <w:rFonts w:asciiTheme="minorHAnsi" w:hAnsiTheme="minorHAnsi" w:cstheme="minorHAnsi"/>
          <w:color w:val="4F6228" w:themeColor="accent3" w:themeShade="80"/>
          <w:sz w:val="24"/>
          <w:szCs w:val="24"/>
          <w:lang w:val="en-GB"/>
        </w:rPr>
        <w:t>The CEO and SEND Trustee ensure statutory compliance and monitor outcomes for SEND pupils across the Trust.</w:t>
      </w:r>
    </w:p>
    <w:p w14:paraId="210E7CCD" w14:textId="77777777" w:rsidR="0088432A" w:rsidRPr="0088432A" w:rsidRDefault="0088432A" w:rsidP="0088432A">
      <w:pPr>
        <w:numPr>
          <w:ilvl w:val="0"/>
          <w:numId w:val="6"/>
        </w:numPr>
        <w:rPr>
          <w:rFonts w:asciiTheme="minorHAnsi" w:hAnsiTheme="minorHAnsi" w:cstheme="minorHAnsi"/>
          <w:color w:val="4F6228" w:themeColor="accent3" w:themeShade="80"/>
          <w:sz w:val="24"/>
          <w:szCs w:val="24"/>
          <w:lang w:val="en-GB"/>
        </w:rPr>
      </w:pPr>
      <w:r w:rsidRPr="0088432A">
        <w:rPr>
          <w:rFonts w:asciiTheme="minorHAnsi" w:hAnsiTheme="minorHAnsi" w:cstheme="minorHAnsi"/>
          <w:color w:val="4F6228" w:themeColor="accent3" w:themeShade="80"/>
          <w:sz w:val="24"/>
          <w:szCs w:val="24"/>
          <w:lang w:val="en-GB"/>
        </w:rPr>
        <w:t>The Director of Inclusion oversees implementation of the SEND Policy and supports SENDCos in each school.</w:t>
      </w:r>
    </w:p>
    <w:p w14:paraId="53653CA4" w14:textId="310DC321" w:rsidR="0088432A" w:rsidRPr="0088432A" w:rsidRDefault="0088432A" w:rsidP="0088432A">
      <w:pPr>
        <w:numPr>
          <w:ilvl w:val="0"/>
          <w:numId w:val="6"/>
        </w:numPr>
        <w:rPr>
          <w:rFonts w:asciiTheme="minorHAnsi" w:hAnsiTheme="minorHAnsi" w:cstheme="minorHAnsi"/>
          <w:color w:val="4F6228" w:themeColor="accent3" w:themeShade="80"/>
          <w:sz w:val="24"/>
          <w:szCs w:val="24"/>
          <w:lang w:val="en-GB"/>
        </w:rPr>
      </w:pPr>
      <w:r w:rsidRPr="0088432A">
        <w:rPr>
          <w:rFonts w:asciiTheme="minorHAnsi" w:hAnsiTheme="minorHAnsi" w:cstheme="minorHAnsi"/>
          <w:color w:val="4F6228" w:themeColor="accent3" w:themeShade="80"/>
          <w:sz w:val="24"/>
          <w:szCs w:val="24"/>
          <w:lang w:val="en-GB"/>
        </w:rPr>
        <w:t xml:space="preserve">Each school’s SENDCo is responsible for day-to-day SEND operations, supported by all staff and </w:t>
      </w:r>
    </w:p>
    <w:p w14:paraId="43D678C6" w14:textId="34AA7867" w:rsidR="0088432A" w:rsidRPr="0088432A" w:rsidRDefault="0088432A" w:rsidP="0088432A">
      <w:pPr>
        <w:ind w:left="360"/>
        <w:rPr>
          <w:rFonts w:asciiTheme="minorHAnsi" w:hAnsiTheme="minorHAnsi" w:cstheme="minorHAnsi"/>
          <w:color w:val="4F6228" w:themeColor="accent3" w:themeShade="80"/>
          <w:sz w:val="24"/>
          <w:szCs w:val="24"/>
          <w:lang w:val="en-GB"/>
        </w:rPr>
      </w:pPr>
      <w:r>
        <w:rPr>
          <w:rFonts w:asciiTheme="minorHAnsi" w:hAnsiTheme="minorHAnsi" w:cstheme="minorHAnsi"/>
          <w:color w:val="4F6228" w:themeColor="accent3" w:themeShade="80"/>
          <w:sz w:val="24"/>
          <w:szCs w:val="24"/>
          <w:lang w:val="en-GB"/>
        </w:rPr>
        <w:t xml:space="preserve">      </w:t>
      </w:r>
      <w:r w:rsidRPr="0088432A">
        <w:rPr>
          <w:rFonts w:asciiTheme="minorHAnsi" w:hAnsiTheme="minorHAnsi" w:cstheme="minorHAnsi"/>
          <w:color w:val="4F6228" w:themeColor="accent3" w:themeShade="80"/>
          <w:sz w:val="24"/>
          <w:szCs w:val="24"/>
          <w:lang w:val="en-GB"/>
        </w:rPr>
        <w:t>governors.</w:t>
      </w:r>
    </w:p>
    <w:p w14:paraId="18A8E2FD" w14:textId="1E7B6533" w:rsidR="0088432A" w:rsidRPr="0088432A" w:rsidRDefault="0088432A" w:rsidP="0088432A">
      <w:pPr>
        <w:numPr>
          <w:ilvl w:val="0"/>
          <w:numId w:val="6"/>
        </w:numPr>
        <w:rPr>
          <w:rFonts w:asciiTheme="minorHAnsi" w:hAnsiTheme="minorHAnsi" w:cstheme="minorHAnsi"/>
          <w:color w:val="4F6228" w:themeColor="accent3" w:themeShade="80"/>
          <w:sz w:val="24"/>
          <w:szCs w:val="24"/>
          <w:lang w:val="en-GB"/>
        </w:rPr>
        <w:sectPr w:rsidR="0088432A" w:rsidRPr="0088432A">
          <w:footerReference w:type="default" r:id="rId9"/>
          <w:type w:val="continuous"/>
          <w:pgSz w:w="11910" w:h="16840"/>
          <w:pgMar w:top="960" w:right="850" w:bottom="1100" w:left="850" w:header="0" w:footer="903" w:gutter="0"/>
          <w:pgNumType w:start="1"/>
          <w:cols w:space="720"/>
        </w:sectPr>
      </w:pPr>
      <w:r w:rsidRPr="0088432A">
        <w:rPr>
          <w:rFonts w:asciiTheme="minorHAnsi" w:hAnsiTheme="minorHAnsi" w:cstheme="minorHAnsi"/>
          <w:color w:val="4F6228" w:themeColor="accent3" w:themeShade="80"/>
          <w:sz w:val="24"/>
          <w:szCs w:val="24"/>
          <w:lang w:val="en-GB"/>
        </w:rPr>
        <w:t>All staff are responsible for inclusive practice and for following the Trust’s SEND and disability procedures.</w:t>
      </w:r>
    </w:p>
    <w:p w14:paraId="2218C972" w14:textId="77777777" w:rsidR="001148B2" w:rsidRPr="0088432A" w:rsidRDefault="0088432A" w:rsidP="0088432A">
      <w:pPr>
        <w:tabs>
          <w:tab w:val="left" w:pos="393"/>
        </w:tabs>
        <w:spacing w:before="86"/>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z w:val="24"/>
          <w:szCs w:val="24"/>
        </w:rPr>
        <w:lastRenderedPageBreak/>
        <w:t>Local</w:t>
      </w:r>
      <w:r w:rsidRPr="0088432A">
        <w:rPr>
          <w:rFonts w:asciiTheme="minorHAnsi" w:hAnsiTheme="minorHAnsi" w:cstheme="minorHAnsi"/>
          <w:color w:val="4F6228" w:themeColor="accent3" w:themeShade="80"/>
          <w:spacing w:val="4"/>
          <w:sz w:val="24"/>
          <w:szCs w:val="24"/>
        </w:rPr>
        <w:t xml:space="preserve"> </w:t>
      </w:r>
      <w:r w:rsidRPr="0088432A">
        <w:rPr>
          <w:rFonts w:asciiTheme="minorHAnsi" w:hAnsiTheme="minorHAnsi" w:cstheme="minorHAnsi"/>
          <w:color w:val="4F6228" w:themeColor="accent3" w:themeShade="80"/>
          <w:sz w:val="24"/>
          <w:szCs w:val="24"/>
        </w:rPr>
        <w:t>offer</w:t>
      </w:r>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z w:val="24"/>
          <w:szCs w:val="24"/>
        </w:rPr>
        <w:t>published</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on</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school</w:t>
      </w:r>
      <w:r w:rsidRPr="0088432A">
        <w:rPr>
          <w:rFonts w:asciiTheme="minorHAnsi" w:hAnsiTheme="minorHAnsi" w:cstheme="minorHAnsi"/>
          <w:color w:val="4F6228" w:themeColor="accent3" w:themeShade="80"/>
          <w:spacing w:val="8"/>
          <w:sz w:val="24"/>
          <w:szCs w:val="24"/>
        </w:rPr>
        <w:t xml:space="preserve"> </w:t>
      </w:r>
      <w:r w:rsidRPr="0088432A">
        <w:rPr>
          <w:rFonts w:asciiTheme="minorHAnsi" w:hAnsiTheme="minorHAnsi" w:cstheme="minorHAnsi"/>
          <w:color w:val="4F6228" w:themeColor="accent3" w:themeShade="80"/>
          <w:spacing w:val="-2"/>
          <w:sz w:val="24"/>
          <w:szCs w:val="24"/>
        </w:rPr>
        <w:t>website</w:t>
      </w:r>
    </w:p>
    <w:p w14:paraId="30A5F4A8" w14:textId="77777777" w:rsidR="0088432A" w:rsidRPr="0088432A" w:rsidRDefault="0088432A" w:rsidP="0088432A">
      <w:pPr>
        <w:widowControl/>
        <w:autoSpaceDE/>
        <w:autoSpaceDN/>
        <w:spacing w:before="100" w:beforeAutospacing="1" w:after="100" w:afterAutospacing="1"/>
        <w:rPr>
          <w:rFonts w:asciiTheme="minorHAnsi" w:eastAsia="Times New Roman" w:hAnsiTheme="minorHAnsi" w:cstheme="minorHAnsi"/>
          <w:color w:val="4F6228" w:themeColor="accent3" w:themeShade="80"/>
          <w:sz w:val="24"/>
          <w:szCs w:val="24"/>
          <w:lang w:val="en-GB" w:eastAsia="en-GB"/>
        </w:rPr>
      </w:pPr>
      <w:r w:rsidRPr="0088432A">
        <w:rPr>
          <w:rFonts w:asciiTheme="minorHAnsi" w:eastAsia="Times New Roman" w:hAnsiTheme="minorHAnsi" w:cstheme="minorHAnsi"/>
          <w:b/>
          <w:bCs/>
          <w:color w:val="4F6228" w:themeColor="accent3" w:themeShade="80"/>
          <w:sz w:val="24"/>
          <w:szCs w:val="24"/>
          <w:lang w:val="en-GB" w:eastAsia="en-GB"/>
        </w:rPr>
        <w:t>Pupil and Parent Voice</w:t>
      </w:r>
    </w:p>
    <w:p w14:paraId="57687B1C" w14:textId="37F885F8" w:rsidR="0088432A" w:rsidRPr="0088432A" w:rsidRDefault="0088432A" w:rsidP="0088432A">
      <w:pPr>
        <w:widowControl/>
        <w:numPr>
          <w:ilvl w:val="0"/>
          <w:numId w:val="8"/>
        </w:numPr>
        <w:autoSpaceDE/>
        <w:autoSpaceDN/>
        <w:spacing w:before="100" w:beforeAutospacing="1" w:after="100" w:afterAutospacing="1"/>
        <w:rPr>
          <w:rFonts w:asciiTheme="minorHAnsi" w:eastAsia="Times New Roman" w:hAnsiTheme="minorHAnsi" w:cstheme="minorHAnsi"/>
          <w:color w:val="4F6228" w:themeColor="accent3" w:themeShade="80"/>
          <w:sz w:val="24"/>
          <w:szCs w:val="24"/>
          <w:lang w:val="en-GB" w:eastAsia="en-GB"/>
        </w:rPr>
      </w:pPr>
      <w:r w:rsidRPr="0088432A">
        <w:rPr>
          <w:rFonts w:asciiTheme="minorHAnsi" w:eastAsia="Times New Roman" w:hAnsiTheme="minorHAnsi" w:cstheme="minorHAnsi"/>
          <w:color w:val="4F6228" w:themeColor="accent3" w:themeShade="80"/>
          <w:sz w:val="24"/>
          <w:szCs w:val="24"/>
          <w:lang w:val="en-GB" w:eastAsia="en-GB"/>
        </w:rPr>
        <w:t>Stakeholder feedback, including from pupils and parents, is integral to shaping and improving SEND provision across the Trust. Feedback is gathered through surveys, forums, and structured interviews, and informs school improvement planning.</w:t>
      </w:r>
    </w:p>
    <w:p w14:paraId="2BF4E378" w14:textId="77777777" w:rsidR="001148B2" w:rsidRPr="0088432A" w:rsidRDefault="0088432A">
      <w:pPr>
        <w:pStyle w:val="ListParagraph"/>
        <w:numPr>
          <w:ilvl w:val="0"/>
          <w:numId w:val="1"/>
        </w:numPr>
        <w:tabs>
          <w:tab w:val="left" w:pos="394"/>
        </w:tabs>
        <w:ind w:left="394"/>
        <w:rPr>
          <w:rFonts w:asciiTheme="minorHAnsi" w:hAnsiTheme="minorHAnsi" w:cstheme="minorHAnsi"/>
          <w:color w:val="4F6228" w:themeColor="accent3" w:themeShade="80"/>
          <w:sz w:val="24"/>
          <w:szCs w:val="24"/>
        </w:rPr>
      </w:pPr>
      <w:proofErr w:type="gramStart"/>
      <w:r w:rsidRPr="0088432A">
        <w:rPr>
          <w:rFonts w:asciiTheme="minorHAnsi" w:hAnsiTheme="minorHAnsi" w:cstheme="minorHAnsi"/>
          <w:color w:val="4F6228" w:themeColor="accent3" w:themeShade="80"/>
          <w:sz w:val="24"/>
          <w:szCs w:val="24"/>
        </w:rPr>
        <w:t>SEND</w:t>
      </w:r>
      <w:proofErr w:type="gramEnd"/>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z w:val="24"/>
          <w:szCs w:val="24"/>
        </w:rPr>
        <w:t>information</w:t>
      </w:r>
      <w:r w:rsidRPr="0088432A">
        <w:rPr>
          <w:rFonts w:asciiTheme="minorHAnsi" w:hAnsiTheme="minorHAnsi" w:cstheme="minorHAnsi"/>
          <w:color w:val="4F6228" w:themeColor="accent3" w:themeShade="80"/>
          <w:spacing w:val="9"/>
          <w:sz w:val="24"/>
          <w:szCs w:val="24"/>
        </w:rPr>
        <w:t xml:space="preserve"> </w:t>
      </w:r>
      <w:r w:rsidRPr="0088432A">
        <w:rPr>
          <w:rFonts w:asciiTheme="minorHAnsi" w:hAnsiTheme="minorHAnsi" w:cstheme="minorHAnsi"/>
          <w:color w:val="4F6228" w:themeColor="accent3" w:themeShade="80"/>
          <w:sz w:val="24"/>
          <w:szCs w:val="24"/>
        </w:rPr>
        <w:t>report</w:t>
      </w:r>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z w:val="24"/>
          <w:szCs w:val="24"/>
        </w:rPr>
        <w:t>reviewed</w:t>
      </w:r>
      <w:r w:rsidRPr="0088432A">
        <w:rPr>
          <w:rFonts w:asciiTheme="minorHAnsi" w:hAnsiTheme="minorHAnsi" w:cstheme="minorHAnsi"/>
          <w:color w:val="4F6228" w:themeColor="accent3" w:themeShade="80"/>
          <w:spacing w:val="7"/>
          <w:sz w:val="24"/>
          <w:szCs w:val="24"/>
        </w:rPr>
        <w:t xml:space="preserve"> </w:t>
      </w:r>
      <w:r w:rsidRPr="0088432A">
        <w:rPr>
          <w:rFonts w:asciiTheme="minorHAnsi" w:hAnsiTheme="minorHAnsi" w:cstheme="minorHAnsi"/>
          <w:color w:val="4F6228" w:themeColor="accent3" w:themeShade="80"/>
          <w:sz w:val="24"/>
          <w:szCs w:val="24"/>
        </w:rPr>
        <w:t>annually</w:t>
      </w:r>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z w:val="24"/>
          <w:szCs w:val="24"/>
        </w:rPr>
        <w:t>and</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published</w:t>
      </w:r>
      <w:r w:rsidRPr="0088432A">
        <w:rPr>
          <w:rFonts w:asciiTheme="minorHAnsi" w:hAnsiTheme="minorHAnsi" w:cstheme="minorHAnsi"/>
          <w:color w:val="4F6228" w:themeColor="accent3" w:themeShade="80"/>
          <w:spacing w:val="7"/>
          <w:sz w:val="24"/>
          <w:szCs w:val="24"/>
        </w:rPr>
        <w:t xml:space="preserve"> </w:t>
      </w:r>
      <w:r w:rsidRPr="0088432A">
        <w:rPr>
          <w:rFonts w:asciiTheme="minorHAnsi" w:hAnsiTheme="minorHAnsi" w:cstheme="minorHAnsi"/>
          <w:color w:val="4F6228" w:themeColor="accent3" w:themeShade="80"/>
          <w:sz w:val="24"/>
          <w:szCs w:val="24"/>
        </w:rPr>
        <w:t>on</w:t>
      </w:r>
      <w:r w:rsidRPr="0088432A">
        <w:rPr>
          <w:rFonts w:asciiTheme="minorHAnsi" w:hAnsiTheme="minorHAnsi" w:cstheme="minorHAnsi"/>
          <w:color w:val="4F6228" w:themeColor="accent3" w:themeShade="80"/>
          <w:spacing w:val="9"/>
          <w:sz w:val="24"/>
          <w:szCs w:val="24"/>
        </w:rPr>
        <w:t xml:space="preserve"> </w:t>
      </w:r>
      <w:r w:rsidRPr="0088432A">
        <w:rPr>
          <w:rFonts w:asciiTheme="minorHAnsi" w:hAnsiTheme="minorHAnsi" w:cstheme="minorHAnsi"/>
          <w:color w:val="4F6228" w:themeColor="accent3" w:themeShade="80"/>
          <w:spacing w:val="-2"/>
          <w:sz w:val="24"/>
          <w:szCs w:val="24"/>
        </w:rPr>
        <w:t>website</w:t>
      </w:r>
    </w:p>
    <w:p w14:paraId="7423506F" w14:textId="77777777" w:rsidR="0088432A" w:rsidRPr="0088432A" w:rsidRDefault="0088432A" w:rsidP="0088432A">
      <w:pPr>
        <w:widowControl/>
        <w:autoSpaceDE/>
        <w:autoSpaceDN/>
        <w:spacing w:before="100" w:beforeAutospacing="1" w:after="100" w:afterAutospacing="1"/>
        <w:rPr>
          <w:rFonts w:asciiTheme="minorHAnsi" w:eastAsia="Times New Roman" w:hAnsiTheme="minorHAnsi" w:cstheme="minorHAnsi"/>
          <w:color w:val="4F6228" w:themeColor="accent3" w:themeShade="80"/>
          <w:sz w:val="24"/>
          <w:szCs w:val="24"/>
          <w:lang w:val="en-GB" w:eastAsia="en-GB"/>
        </w:rPr>
      </w:pPr>
      <w:r w:rsidRPr="0088432A">
        <w:rPr>
          <w:rFonts w:asciiTheme="minorHAnsi" w:eastAsia="Times New Roman" w:hAnsiTheme="minorHAnsi" w:cstheme="minorHAnsi"/>
          <w:b/>
          <w:bCs/>
          <w:color w:val="4F6228" w:themeColor="accent3" w:themeShade="80"/>
          <w:sz w:val="24"/>
          <w:szCs w:val="24"/>
          <w:lang w:val="en-GB" w:eastAsia="en-GB"/>
        </w:rPr>
        <w:t>Monitoring, Review, and Impact</w:t>
      </w:r>
    </w:p>
    <w:p w14:paraId="5C41EA2E" w14:textId="68CBC15B" w:rsidR="0088432A" w:rsidRPr="0088432A" w:rsidRDefault="0088432A" w:rsidP="0088432A">
      <w:pPr>
        <w:widowControl/>
        <w:numPr>
          <w:ilvl w:val="0"/>
          <w:numId w:val="9"/>
        </w:numPr>
        <w:autoSpaceDE/>
        <w:autoSpaceDN/>
        <w:spacing w:before="100" w:beforeAutospacing="1" w:after="100" w:afterAutospacing="1"/>
        <w:rPr>
          <w:rFonts w:asciiTheme="minorHAnsi" w:eastAsia="Times New Roman" w:hAnsiTheme="minorHAnsi" w:cstheme="minorHAnsi"/>
          <w:color w:val="4F6228" w:themeColor="accent3" w:themeShade="80"/>
          <w:sz w:val="24"/>
          <w:szCs w:val="24"/>
          <w:lang w:val="en-GB" w:eastAsia="en-GB"/>
        </w:rPr>
      </w:pPr>
      <w:r w:rsidRPr="0088432A">
        <w:rPr>
          <w:rFonts w:asciiTheme="minorHAnsi" w:eastAsia="Times New Roman" w:hAnsiTheme="minorHAnsi" w:cstheme="minorHAnsi"/>
          <w:color w:val="4F6228" w:themeColor="accent3" w:themeShade="80"/>
          <w:sz w:val="24"/>
          <w:szCs w:val="24"/>
          <w:lang w:val="en-GB" w:eastAsia="en-GB"/>
        </w:rPr>
        <w:t>SEND provision is monitored through regular review of Individual Support Plans (ISPs), provision mapping, and annual policy reviews to ensure evidence-based, outcomes-focused support.</w:t>
      </w:r>
    </w:p>
    <w:p w14:paraId="6CC75040" w14:textId="77777777" w:rsidR="001148B2" w:rsidRPr="0088432A" w:rsidRDefault="0088432A">
      <w:pPr>
        <w:pStyle w:val="ListParagraph"/>
        <w:numPr>
          <w:ilvl w:val="0"/>
          <w:numId w:val="1"/>
        </w:numPr>
        <w:tabs>
          <w:tab w:val="left" w:pos="394"/>
        </w:tabs>
        <w:spacing w:before="22"/>
        <w:ind w:left="394"/>
        <w:rPr>
          <w:rFonts w:asciiTheme="minorHAnsi" w:hAnsiTheme="minorHAnsi" w:cstheme="minorHAnsi"/>
          <w:color w:val="4F6228" w:themeColor="accent3" w:themeShade="80"/>
          <w:sz w:val="24"/>
          <w:szCs w:val="24"/>
        </w:rPr>
      </w:pPr>
      <w:r w:rsidRPr="0088432A">
        <w:rPr>
          <w:rFonts w:asciiTheme="minorHAnsi" w:hAnsiTheme="minorHAnsi" w:cstheme="minorHAnsi"/>
          <w:color w:val="4F6228" w:themeColor="accent3" w:themeShade="80"/>
          <w:sz w:val="24"/>
          <w:szCs w:val="24"/>
        </w:rPr>
        <w:t>Adapt</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the</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Model</w:t>
      </w:r>
      <w:r w:rsidRPr="0088432A">
        <w:rPr>
          <w:rFonts w:asciiTheme="minorHAnsi" w:hAnsiTheme="minorHAnsi" w:cstheme="minorHAnsi"/>
          <w:color w:val="4F6228" w:themeColor="accent3" w:themeShade="80"/>
          <w:spacing w:val="6"/>
          <w:sz w:val="24"/>
          <w:szCs w:val="24"/>
        </w:rPr>
        <w:t xml:space="preserve"> </w:t>
      </w:r>
      <w:r w:rsidRPr="0088432A">
        <w:rPr>
          <w:rFonts w:asciiTheme="minorHAnsi" w:hAnsiTheme="minorHAnsi" w:cstheme="minorHAnsi"/>
          <w:color w:val="4F6228" w:themeColor="accent3" w:themeShade="80"/>
          <w:sz w:val="24"/>
          <w:szCs w:val="24"/>
        </w:rPr>
        <w:t>ACT</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SEND</w:t>
      </w:r>
      <w:r w:rsidRPr="0088432A">
        <w:rPr>
          <w:rFonts w:asciiTheme="minorHAnsi" w:hAnsiTheme="minorHAnsi" w:cstheme="minorHAnsi"/>
          <w:color w:val="4F6228" w:themeColor="accent3" w:themeShade="80"/>
          <w:spacing w:val="4"/>
          <w:sz w:val="24"/>
          <w:szCs w:val="24"/>
        </w:rPr>
        <w:t xml:space="preserve"> </w:t>
      </w:r>
      <w:r w:rsidRPr="0088432A">
        <w:rPr>
          <w:rFonts w:asciiTheme="minorHAnsi" w:hAnsiTheme="minorHAnsi" w:cstheme="minorHAnsi"/>
          <w:color w:val="4F6228" w:themeColor="accent3" w:themeShade="80"/>
          <w:sz w:val="24"/>
          <w:szCs w:val="24"/>
        </w:rPr>
        <w:t>Policy</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at</w:t>
      </w:r>
      <w:r w:rsidRPr="0088432A">
        <w:rPr>
          <w:rFonts w:asciiTheme="minorHAnsi" w:hAnsiTheme="minorHAnsi" w:cstheme="minorHAnsi"/>
          <w:color w:val="4F6228" w:themeColor="accent3" w:themeShade="80"/>
          <w:spacing w:val="5"/>
          <w:sz w:val="24"/>
          <w:szCs w:val="24"/>
        </w:rPr>
        <w:t xml:space="preserve"> </w:t>
      </w:r>
      <w:r w:rsidRPr="0088432A">
        <w:rPr>
          <w:rFonts w:asciiTheme="minorHAnsi" w:hAnsiTheme="minorHAnsi" w:cstheme="minorHAnsi"/>
          <w:color w:val="4F6228" w:themeColor="accent3" w:themeShade="80"/>
          <w:sz w:val="24"/>
          <w:szCs w:val="24"/>
        </w:rPr>
        <w:t>local</w:t>
      </w:r>
      <w:r w:rsidRPr="0088432A">
        <w:rPr>
          <w:rFonts w:asciiTheme="minorHAnsi" w:hAnsiTheme="minorHAnsi" w:cstheme="minorHAnsi"/>
          <w:color w:val="4F6228" w:themeColor="accent3" w:themeShade="80"/>
          <w:spacing w:val="7"/>
          <w:sz w:val="24"/>
          <w:szCs w:val="24"/>
        </w:rPr>
        <w:t xml:space="preserve"> </w:t>
      </w:r>
      <w:r w:rsidRPr="0088432A">
        <w:rPr>
          <w:rFonts w:asciiTheme="minorHAnsi" w:hAnsiTheme="minorHAnsi" w:cstheme="minorHAnsi"/>
          <w:color w:val="4F6228" w:themeColor="accent3" w:themeShade="80"/>
          <w:spacing w:val="-4"/>
          <w:sz w:val="24"/>
          <w:szCs w:val="24"/>
        </w:rPr>
        <w:t>level</w:t>
      </w:r>
    </w:p>
    <w:p w14:paraId="13946CB9" w14:textId="77777777" w:rsidR="0088432A" w:rsidRPr="0088432A" w:rsidRDefault="0088432A" w:rsidP="0088432A">
      <w:pPr>
        <w:pStyle w:val="ListParagraph"/>
        <w:tabs>
          <w:tab w:val="left" w:pos="394"/>
        </w:tabs>
        <w:spacing w:before="22"/>
        <w:ind w:left="394" w:firstLine="0"/>
        <w:rPr>
          <w:rFonts w:asciiTheme="minorHAnsi" w:hAnsiTheme="minorHAnsi" w:cstheme="minorHAnsi"/>
          <w:color w:val="4F6228" w:themeColor="accent3" w:themeShade="80"/>
          <w:sz w:val="24"/>
          <w:szCs w:val="24"/>
        </w:rPr>
      </w:pPr>
    </w:p>
    <w:p w14:paraId="68933BBD" w14:textId="77777777" w:rsidR="0088432A" w:rsidRPr="0088432A" w:rsidRDefault="0088432A" w:rsidP="0088432A">
      <w:pPr>
        <w:widowControl/>
        <w:autoSpaceDE/>
        <w:autoSpaceDN/>
        <w:spacing w:before="100" w:beforeAutospacing="1" w:after="100" w:afterAutospacing="1"/>
        <w:rPr>
          <w:rFonts w:asciiTheme="minorHAnsi" w:eastAsia="Times New Roman" w:hAnsiTheme="minorHAnsi" w:cstheme="minorHAnsi"/>
          <w:color w:val="4F6228" w:themeColor="accent3" w:themeShade="80"/>
          <w:sz w:val="24"/>
          <w:szCs w:val="24"/>
          <w:lang w:val="en-GB" w:eastAsia="en-GB"/>
        </w:rPr>
      </w:pPr>
      <w:r w:rsidRPr="0088432A">
        <w:rPr>
          <w:rFonts w:asciiTheme="minorHAnsi" w:eastAsia="Times New Roman" w:hAnsiTheme="minorHAnsi" w:cstheme="minorHAnsi"/>
          <w:b/>
          <w:bCs/>
          <w:color w:val="4F6228" w:themeColor="accent3" w:themeShade="80"/>
          <w:sz w:val="24"/>
          <w:szCs w:val="24"/>
          <w:lang w:val="en-GB" w:eastAsia="en-GB"/>
        </w:rPr>
        <w:t>Training and Professional Development</w:t>
      </w:r>
    </w:p>
    <w:p w14:paraId="73679F2B" w14:textId="77777777" w:rsidR="0088432A" w:rsidRPr="0088432A" w:rsidRDefault="0088432A" w:rsidP="0088432A">
      <w:pPr>
        <w:widowControl/>
        <w:numPr>
          <w:ilvl w:val="0"/>
          <w:numId w:val="10"/>
        </w:numPr>
        <w:autoSpaceDE/>
        <w:autoSpaceDN/>
        <w:spacing w:before="100" w:beforeAutospacing="1" w:after="100" w:afterAutospacing="1"/>
        <w:rPr>
          <w:rFonts w:asciiTheme="minorHAnsi" w:eastAsia="Times New Roman" w:hAnsiTheme="minorHAnsi" w:cstheme="minorHAnsi"/>
          <w:color w:val="4F6228" w:themeColor="accent3" w:themeShade="80"/>
          <w:sz w:val="24"/>
          <w:szCs w:val="24"/>
          <w:lang w:val="en-GB" w:eastAsia="en-GB"/>
        </w:rPr>
      </w:pPr>
      <w:r w:rsidRPr="0088432A">
        <w:rPr>
          <w:rFonts w:asciiTheme="minorHAnsi" w:eastAsia="Times New Roman" w:hAnsiTheme="minorHAnsi" w:cstheme="minorHAnsi"/>
          <w:color w:val="4F6228" w:themeColor="accent3" w:themeShade="80"/>
          <w:sz w:val="24"/>
          <w:szCs w:val="24"/>
          <w:lang w:val="en-GB" w:eastAsia="en-GB"/>
        </w:rPr>
        <w:t>All staff receive regular training and participate in SEND audits to ensure high-quality, up-to-date provision. Training is responsive to audit findings and includes updates on legislation, inclusive pedagogy, and specific needs such as autism, SEMH, and speech and language.</w:t>
      </w:r>
    </w:p>
    <w:p w14:paraId="45437A6E" w14:textId="77777777" w:rsidR="0088432A" w:rsidRPr="0088432A" w:rsidRDefault="0088432A" w:rsidP="0088432A">
      <w:pPr>
        <w:widowControl/>
        <w:autoSpaceDE/>
        <w:autoSpaceDN/>
        <w:spacing w:before="100" w:beforeAutospacing="1" w:after="100" w:afterAutospacing="1"/>
        <w:rPr>
          <w:rFonts w:asciiTheme="minorHAnsi" w:eastAsia="Times New Roman" w:hAnsiTheme="minorHAnsi" w:cstheme="minorHAnsi"/>
          <w:color w:val="4F6228" w:themeColor="accent3" w:themeShade="80"/>
          <w:sz w:val="24"/>
          <w:szCs w:val="24"/>
          <w:lang w:val="en-GB" w:eastAsia="en-GB"/>
        </w:rPr>
      </w:pPr>
      <w:r w:rsidRPr="0088432A">
        <w:rPr>
          <w:rFonts w:asciiTheme="minorHAnsi" w:eastAsia="Times New Roman" w:hAnsiTheme="minorHAnsi" w:cstheme="minorHAnsi"/>
          <w:b/>
          <w:bCs/>
          <w:color w:val="4F6228" w:themeColor="accent3" w:themeShade="80"/>
          <w:sz w:val="24"/>
          <w:szCs w:val="24"/>
          <w:lang w:val="en-GB" w:eastAsia="en-GB"/>
        </w:rPr>
        <w:t>External Agencies and Transition</w:t>
      </w:r>
    </w:p>
    <w:p w14:paraId="48BC9BE3" w14:textId="77777777" w:rsidR="0088432A" w:rsidRPr="0088432A" w:rsidRDefault="0088432A" w:rsidP="0088432A">
      <w:pPr>
        <w:widowControl/>
        <w:numPr>
          <w:ilvl w:val="0"/>
          <w:numId w:val="11"/>
        </w:numPr>
        <w:autoSpaceDE/>
        <w:autoSpaceDN/>
        <w:spacing w:before="100" w:beforeAutospacing="1" w:after="100" w:afterAutospacing="1"/>
        <w:rPr>
          <w:rFonts w:asciiTheme="minorHAnsi" w:eastAsia="Times New Roman" w:hAnsiTheme="minorHAnsi" w:cstheme="minorHAnsi"/>
          <w:color w:val="4F6228" w:themeColor="accent3" w:themeShade="80"/>
          <w:sz w:val="24"/>
          <w:szCs w:val="24"/>
          <w:lang w:val="en-GB" w:eastAsia="en-GB"/>
        </w:rPr>
      </w:pPr>
      <w:r w:rsidRPr="0088432A">
        <w:rPr>
          <w:rFonts w:asciiTheme="minorHAnsi" w:eastAsia="Times New Roman" w:hAnsiTheme="minorHAnsi" w:cstheme="minorHAnsi"/>
          <w:color w:val="4F6228" w:themeColor="accent3" w:themeShade="80"/>
          <w:sz w:val="24"/>
          <w:szCs w:val="24"/>
          <w:lang w:val="en-GB" w:eastAsia="en-GB"/>
        </w:rPr>
        <w:t>The Trust works with external agencies and ensures smooth transitions for SEND pupils between phases and schools. Transition arrangements are robust and tailored to individual needs.</w:t>
      </w:r>
    </w:p>
    <w:p w14:paraId="355EA967" w14:textId="77777777" w:rsidR="001148B2" w:rsidRDefault="001148B2">
      <w:pPr>
        <w:pStyle w:val="BodyText"/>
        <w:ind w:firstLine="0"/>
      </w:pPr>
    </w:p>
    <w:p w14:paraId="0B959B87" w14:textId="77777777" w:rsidR="001148B2" w:rsidRDefault="001148B2">
      <w:pPr>
        <w:pStyle w:val="BodyText"/>
        <w:ind w:firstLine="0"/>
      </w:pPr>
    </w:p>
    <w:p w14:paraId="057C4BFC" w14:textId="77777777" w:rsidR="001148B2" w:rsidRDefault="001148B2">
      <w:pPr>
        <w:pStyle w:val="BodyText"/>
        <w:ind w:firstLine="0"/>
      </w:pPr>
    </w:p>
    <w:p w14:paraId="0C7BB008" w14:textId="77777777" w:rsidR="001148B2" w:rsidRDefault="001148B2">
      <w:pPr>
        <w:pStyle w:val="BodyText"/>
        <w:spacing w:before="13" w:after="1"/>
        <w:ind w:firstLine="0"/>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1909"/>
        <w:gridCol w:w="902"/>
        <w:gridCol w:w="1575"/>
        <w:gridCol w:w="2020"/>
        <w:gridCol w:w="1514"/>
      </w:tblGrid>
      <w:tr w:rsidR="001148B2" w14:paraId="0E0A8B48" w14:textId="77777777">
        <w:trPr>
          <w:trHeight w:val="235"/>
        </w:trPr>
        <w:tc>
          <w:tcPr>
            <w:tcW w:w="2185" w:type="dxa"/>
          </w:tcPr>
          <w:p w14:paraId="001CE034" w14:textId="77777777" w:rsidR="001148B2" w:rsidRDefault="0088432A">
            <w:pPr>
              <w:pStyle w:val="TableParagraph"/>
              <w:ind w:left="104"/>
              <w:rPr>
                <w:b/>
                <w:sz w:val="19"/>
              </w:rPr>
            </w:pPr>
            <w:r>
              <w:rPr>
                <w:b/>
                <w:color w:val="538135"/>
                <w:sz w:val="19"/>
              </w:rPr>
              <w:t>Next</w:t>
            </w:r>
            <w:r>
              <w:rPr>
                <w:b/>
                <w:color w:val="538135"/>
                <w:spacing w:val="4"/>
                <w:sz w:val="19"/>
              </w:rPr>
              <w:t xml:space="preserve"> </w:t>
            </w:r>
            <w:r>
              <w:rPr>
                <w:b/>
                <w:color w:val="538135"/>
                <w:sz w:val="19"/>
              </w:rPr>
              <w:t>Review</w:t>
            </w:r>
            <w:r>
              <w:rPr>
                <w:b/>
                <w:color w:val="538135"/>
                <w:spacing w:val="6"/>
                <w:sz w:val="19"/>
              </w:rPr>
              <w:t xml:space="preserve"> </w:t>
            </w:r>
            <w:r>
              <w:rPr>
                <w:b/>
                <w:color w:val="538135"/>
                <w:spacing w:val="-4"/>
                <w:sz w:val="19"/>
              </w:rPr>
              <w:t>Date</w:t>
            </w:r>
          </w:p>
        </w:tc>
        <w:tc>
          <w:tcPr>
            <w:tcW w:w="1909" w:type="dxa"/>
            <w:shd w:val="clear" w:color="auto" w:fill="FFFF00"/>
          </w:tcPr>
          <w:p w14:paraId="6ED1CE54" w14:textId="42C455B0" w:rsidR="001148B2" w:rsidRDefault="0088432A">
            <w:pPr>
              <w:pStyle w:val="TableParagraph"/>
              <w:rPr>
                <w:b/>
                <w:sz w:val="19"/>
              </w:rPr>
            </w:pPr>
            <w:r>
              <w:rPr>
                <w:b/>
                <w:color w:val="538135"/>
                <w:sz w:val="19"/>
              </w:rPr>
              <w:t>December</w:t>
            </w:r>
            <w:r>
              <w:rPr>
                <w:b/>
                <w:color w:val="538135"/>
                <w:spacing w:val="9"/>
                <w:sz w:val="19"/>
              </w:rPr>
              <w:t xml:space="preserve"> </w:t>
            </w:r>
            <w:r>
              <w:rPr>
                <w:b/>
                <w:color w:val="538135"/>
                <w:spacing w:val="-4"/>
                <w:sz w:val="19"/>
              </w:rPr>
              <w:t>202</w:t>
            </w:r>
            <w:r w:rsidR="00BD13F1">
              <w:rPr>
                <w:b/>
                <w:color w:val="538135"/>
                <w:spacing w:val="-4"/>
                <w:sz w:val="19"/>
              </w:rPr>
              <w:t>7</w:t>
            </w:r>
          </w:p>
        </w:tc>
        <w:tc>
          <w:tcPr>
            <w:tcW w:w="902" w:type="dxa"/>
          </w:tcPr>
          <w:p w14:paraId="01E56980" w14:textId="77777777" w:rsidR="001148B2" w:rsidRDefault="0088432A">
            <w:pPr>
              <w:pStyle w:val="TableParagraph"/>
              <w:ind w:left="72" w:right="67"/>
              <w:jc w:val="center"/>
              <w:rPr>
                <w:b/>
                <w:sz w:val="19"/>
              </w:rPr>
            </w:pPr>
            <w:r>
              <w:rPr>
                <w:b/>
                <w:color w:val="538135"/>
                <w:spacing w:val="-2"/>
                <w:sz w:val="19"/>
              </w:rPr>
              <w:t>Version</w:t>
            </w:r>
          </w:p>
        </w:tc>
        <w:tc>
          <w:tcPr>
            <w:tcW w:w="1575" w:type="dxa"/>
          </w:tcPr>
          <w:p w14:paraId="590D1476" w14:textId="07E249C7" w:rsidR="001148B2" w:rsidRDefault="00BD13F1" w:rsidP="00BD13F1">
            <w:pPr>
              <w:pStyle w:val="TableParagraph"/>
              <w:tabs>
                <w:tab w:val="center" w:pos="834"/>
              </w:tabs>
              <w:rPr>
                <w:rFonts w:ascii="Century Gothic"/>
                <w:sz w:val="19"/>
              </w:rPr>
            </w:pPr>
            <w:r>
              <w:rPr>
                <w:rFonts w:ascii="Century Gothic"/>
                <w:color w:val="538135"/>
                <w:spacing w:val="-10"/>
                <w:sz w:val="19"/>
              </w:rPr>
              <w:t>2</w:t>
            </w:r>
            <w:r>
              <w:rPr>
                <w:rFonts w:ascii="Century Gothic"/>
                <w:color w:val="538135"/>
                <w:spacing w:val="-10"/>
                <w:sz w:val="19"/>
              </w:rPr>
              <w:tab/>
            </w:r>
          </w:p>
        </w:tc>
        <w:tc>
          <w:tcPr>
            <w:tcW w:w="2020" w:type="dxa"/>
          </w:tcPr>
          <w:p w14:paraId="65D6DF37" w14:textId="77777777" w:rsidR="001148B2" w:rsidRDefault="0088432A">
            <w:pPr>
              <w:pStyle w:val="TableParagraph"/>
              <w:rPr>
                <w:b/>
                <w:sz w:val="19"/>
              </w:rPr>
            </w:pPr>
            <w:r>
              <w:rPr>
                <w:b/>
                <w:color w:val="538135"/>
                <w:sz w:val="19"/>
              </w:rPr>
              <w:t>Approval</w:t>
            </w:r>
            <w:r>
              <w:rPr>
                <w:b/>
                <w:color w:val="538135"/>
                <w:spacing w:val="5"/>
                <w:sz w:val="19"/>
              </w:rPr>
              <w:t xml:space="preserve"> </w:t>
            </w:r>
            <w:r>
              <w:rPr>
                <w:b/>
                <w:color w:val="538135"/>
                <w:spacing w:val="-4"/>
                <w:sz w:val="19"/>
              </w:rPr>
              <w:t>Date</w:t>
            </w:r>
          </w:p>
        </w:tc>
        <w:tc>
          <w:tcPr>
            <w:tcW w:w="1514" w:type="dxa"/>
          </w:tcPr>
          <w:p w14:paraId="7F3E247B" w14:textId="326ACB2E" w:rsidR="001148B2" w:rsidRDefault="00BD13F1">
            <w:pPr>
              <w:pStyle w:val="TableParagraph"/>
              <w:ind w:left="102"/>
              <w:rPr>
                <w:rFonts w:ascii="Century Gothic"/>
                <w:sz w:val="19"/>
              </w:rPr>
            </w:pPr>
            <w:r>
              <w:rPr>
                <w:rFonts w:ascii="Century Gothic"/>
                <w:color w:val="538135"/>
                <w:spacing w:val="-2"/>
                <w:sz w:val="19"/>
              </w:rPr>
              <w:t>04</w:t>
            </w:r>
            <w:r w:rsidR="0088432A">
              <w:rPr>
                <w:rFonts w:ascii="Century Gothic"/>
                <w:color w:val="538135"/>
                <w:spacing w:val="-2"/>
                <w:sz w:val="19"/>
              </w:rPr>
              <w:t>/12/2</w:t>
            </w:r>
            <w:r>
              <w:rPr>
                <w:rFonts w:ascii="Century Gothic"/>
                <w:color w:val="538135"/>
                <w:spacing w:val="-2"/>
                <w:sz w:val="19"/>
              </w:rPr>
              <w:t>5</w:t>
            </w:r>
          </w:p>
        </w:tc>
      </w:tr>
      <w:tr w:rsidR="001148B2" w14:paraId="60EDAEC5" w14:textId="77777777">
        <w:trPr>
          <w:trHeight w:val="238"/>
        </w:trPr>
        <w:tc>
          <w:tcPr>
            <w:tcW w:w="2185" w:type="dxa"/>
          </w:tcPr>
          <w:p w14:paraId="458E01BA" w14:textId="77777777" w:rsidR="001148B2" w:rsidRDefault="0088432A">
            <w:pPr>
              <w:pStyle w:val="TableParagraph"/>
              <w:spacing w:line="215" w:lineRule="exact"/>
              <w:ind w:left="104"/>
              <w:rPr>
                <w:b/>
                <w:sz w:val="19"/>
              </w:rPr>
            </w:pPr>
            <w:r>
              <w:rPr>
                <w:b/>
                <w:color w:val="538135"/>
                <w:sz w:val="19"/>
              </w:rPr>
              <w:t>Review</w:t>
            </w:r>
            <w:r>
              <w:rPr>
                <w:b/>
                <w:color w:val="538135"/>
                <w:spacing w:val="4"/>
                <w:sz w:val="19"/>
              </w:rPr>
              <w:t xml:space="preserve"> </w:t>
            </w:r>
            <w:r>
              <w:rPr>
                <w:b/>
                <w:color w:val="538135"/>
                <w:spacing w:val="-4"/>
                <w:sz w:val="19"/>
              </w:rPr>
              <w:t>Cycle</w:t>
            </w:r>
          </w:p>
        </w:tc>
        <w:tc>
          <w:tcPr>
            <w:tcW w:w="1909" w:type="dxa"/>
          </w:tcPr>
          <w:p w14:paraId="73E51BBA" w14:textId="77777777" w:rsidR="001148B2" w:rsidRDefault="0088432A">
            <w:pPr>
              <w:pStyle w:val="TableParagraph"/>
              <w:spacing w:line="215" w:lineRule="exact"/>
              <w:rPr>
                <w:rFonts w:ascii="Century Gothic"/>
                <w:sz w:val="19"/>
              </w:rPr>
            </w:pPr>
            <w:r>
              <w:rPr>
                <w:rFonts w:ascii="Century Gothic"/>
                <w:color w:val="538135"/>
                <w:sz w:val="19"/>
              </w:rPr>
              <w:t>2</w:t>
            </w:r>
            <w:r>
              <w:rPr>
                <w:rFonts w:ascii="Century Gothic"/>
                <w:color w:val="538135"/>
                <w:spacing w:val="1"/>
                <w:sz w:val="19"/>
              </w:rPr>
              <w:t xml:space="preserve"> </w:t>
            </w:r>
            <w:r>
              <w:rPr>
                <w:rFonts w:ascii="Century Gothic"/>
                <w:color w:val="538135"/>
                <w:spacing w:val="-2"/>
                <w:sz w:val="19"/>
              </w:rPr>
              <w:t>years</w:t>
            </w:r>
          </w:p>
        </w:tc>
        <w:tc>
          <w:tcPr>
            <w:tcW w:w="902" w:type="dxa"/>
          </w:tcPr>
          <w:p w14:paraId="3765A2A3" w14:textId="77777777" w:rsidR="001148B2" w:rsidRDefault="0088432A">
            <w:pPr>
              <w:pStyle w:val="TableParagraph"/>
              <w:spacing w:line="215" w:lineRule="exact"/>
              <w:ind w:left="5" w:right="72"/>
              <w:jc w:val="center"/>
              <w:rPr>
                <w:b/>
                <w:sz w:val="19"/>
              </w:rPr>
            </w:pPr>
            <w:r>
              <w:rPr>
                <w:b/>
                <w:color w:val="538135"/>
                <w:spacing w:val="-2"/>
                <w:sz w:val="19"/>
              </w:rPr>
              <w:t>Owner</w:t>
            </w:r>
          </w:p>
        </w:tc>
        <w:tc>
          <w:tcPr>
            <w:tcW w:w="1575" w:type="dxa"/>
          </w:tcPr>
          <w:p w14:paraId="511D08A0" w14:textId="77777777" w:rsidR="001148B2" w:rsidRDefault="0088432A">
            <w:pPr>
              <w:pStyle w:val="TableParagraph"/>
              <w:spacing w:line="215" w:lineRule="exact"/>
              <w:rPr>
                <w:rFonts w:ascii="Century Gothic"/>
                <w:sz w:val="19"/>
              </w:rPr>
            </w:pPr>
            <w:r>
              <w:rPr>
                <w:rFonts w:ascii="Century Gothic"/>
                <w:color w:val="538135"/>
                <w:spacing w:val="-5"/>
                <w:sz w:val="19"/>
              </w:rPr>
              <w:t>CEO</w:t>
            </w:r>
          </w:p>
        </w:tc>
        <w:tc>
          <w:tcPr>
            <w:tcW w:w="2020" w:type="dxa"/>
          </w:tcPr>
          <w:p w14:paraId="61E0D1EB" w14:textId="77777777" w:rsidR="001148B2" w:rsidRDefault="0088432A">
            <w:pPr>
              <w:pStyle w:val="TableParagraph"/>
              <w:spacing w:line="215" w:lineRule="exact"/>
              <w:rPr>
                <w:b/>
                <w:sz w:val="19"/>
              </w:rPr>
            </w:pPr>
            <w:r>
              <w:rPr>
                <w:b/>
                <w:color w:val="538135"/>
                <w:sz w:val="19"/>
              </w:rPr>
              <w:t>Approval</w:t>
            </w:r>
            <w:r>
              <w:rPr>
                <w:b/>
                <w:color w:val="538135"/>
                <w:spacing w:val="5"/>
                <w:sz w:val="19"/>
              </w:rPr>
              <w:t xml:space="preserve"> </w:t>
            </w:r>
            <w:r>
              <w:rPr>
                <w:b/>
                <w:color w:val="538135"/>
                <w:spacing w:val="-4"/>
                <w:sz w:val="19"/>
              </w:rPr>
              <w:t>Body</w:t>
            </w:r>
          </w:p>
        </w:tc>
        <w:tc>
          <w:tcPr>
            <w:tcW w:w="1514" w:type="dxa"/>
          </w:tcPr>
          <w:p w14:paraId="08E1FE83" w14:textId="77777777" w:rsidR="001148B2" w:rsidRDefault="0088432A">
            <w:pPr>
              <w:pStyle w:val="TableParagraph"/>
              <w:spacing w:line="215" w:lineRule="exact"/>
              <w:ind w:left="102"/>
              <w:rPr>
                <w:rFonts w:ascii="Century Gothic"/>
                <w:sz w:val="19"/>
              </w:rPr>
            </w:pPr>
            <w:r>
              <w:rPr>
                <w:rFonts w:ascii="Century Gothic"/>
                <w:color w:val="538135"/>
                <w:sz w:val="19"/>
              </w:rPr>
              <w:t>Trust</w:t>
            </w:r>
            <w:r>
              <w:rPr>
                <w:rFonts w:ascii="Century Gothic"/>
                <w:color w:val="538135"/>
                <w:spacing w:val="2"/>
                <w:sz w:val="19"/>
              </w:rPr>
              <w:t xml:space="preserve"> </w:t>
            </w:r>
            <w:r>
              <w:rPr>
                <w:rFonts w:ascii="Century Gothic"/>
                <w:color w:val="538135"/>
                <w:spacing w:val="-2"/>
                <w:sz w:val="19"/>
              </w:rPr>
              <w:t>Board</w:t>
            </w:r>
          </w:p>
        </w:tc>
      </w:tr>
    </w:tbl>
    <w:p w14:paraId="1956AAD6" w14:textId="77777777" w:rsidR="0088432A" w:rsidRDefault="0088432A"/>
    <w:sectPr w:rsidR="0088432A">
      <w:pgSz w:w="11910" w:h="16840"/>
      <w:pgMar w:top="880" w:right="850" w:bottom="1120" w:left="850" w:header="0"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8E08" w14:textId="77777777" w:rsidR="0088432A" w:rsidRDefault="0088432A">
      <w:r>
        <w:separator/>
      </w:r>
    </w:p>
  </w:endnote>
  <w:endnote w:type="continuationSeparator" w:id="0">
    <w:p w14:paraId="4E94B5CB" w14:textId="77777777" w:rsidR="0088432A" w:rsidRDefault="0088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 Bold">
    <w:altName w:val="Century Gothic Bold"/>
    <w:panose1 w:val="020B0702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A080" w14:textId="77777777" w:rsidR="001148B2" w:rsidRDefault="0088432A">
    <w:pPr>
      <w:pStyle w:val="BodyText"/>
      <w:spacing w:line="14" w:lineRule="auto"/>
      <w:ind w:firstLine="0"/>
    </w:pPr>
    <w:r>
      <w:rPr>
        <w:noProof/>
      </w:rPr>
      <mc:AlternateContent>
        <mc:Choice Requires="wps">
          <w:drawing>
            <wp:anchor distT="0" distB="0" distL="0" distR="0" simplePos="0" relativeHeight="251658752" behindDoc="1" locked="0" layoutInCell="1" allowOverlap="1" wp14:anchorId="7B35D013" wp14:editId="5A7C6774">
              <wp:simplePos x="0" y="0"/>
              <wp:positionH relativeFrom="page">
                <wp:posOffset>556221</wp:posOffset>
              </wp:positionH>
              <wp:positionV relativeFrom="page">
                <wp:posOffset>9962892</wp:posOffset>
              </wp:positionV>
              <wp:extent cx="2305050" cy="124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0" cy="124460"/>
                      </a:xfrm>
                      <a:prstGeom prst="rect">
                        <a:avLst/>
                      </a:prstGeom>
                    </wps:spPr>
                    <wps:txbx>
                      <w:txbxContent>
                        <w:p w14:paraId="7199C566" w14:textId="33FBBA8B" w:rsidR="001148B2" w:rsidRDefault="0088432A">
                          <w:pPr>
                            <w:spacing w:line="177" w:lineRule="exact"/>
                            <w:ind w:left="20"/>
                            <w:rPr>
                              <w:rFonts w:ascii="Calibri" w:eastAsia="Calibri" w:hAnsi="Calibri" w:cs="Calibri"/>
                              <w:sz w:val="15"/>
                              <w:szCs w:val="15"/>
                            </w:rPr>
                          </w:pPr>
                          <w:r>
                            <w:rPr>
                              <w:rFonts w:ascii="Calibri" w:eastAsia="Calibri" w:hAnsi="Calibri" w:cs="Calibri"/>
                              <w:spacing w:val="-2"/>
                              <w:w w:val="105"/>
                              <w:sz w:val="15"/>
                              <w:szCs w:val="15"/>
                            </w:rPr>
                            <w:t>ACT</w:t>
                          </w:r>
                          <w:r>
                            <w:rPr>
                              <w:rFonts w:ascii="Calibri" w:eastAsia="Calibri" w:hAnsi="Calibri" w:cs="Calibri"/>
                              <w:spacing w:val="-1"/>
                              <w:sz w:val="15"/>
                              <w:szCs w:val="15"/>
                            </w:rPr>
                            <w:t xml:space="preserve"> </w:t>
                          </w:r>
                          <w:r>
                            <w:rPr>
                              <w:rFonts w:ascii="Calibri" w:eastAsia="Calibri" w:hAnsi="Calibri" w:cs="Calibri"/>
                              <w:spacing w:val="-2"/>
                              <w:w w:val="105"/>
                              <w:sz w:val="15"/>
                              <w:szCs w:val="15"/>
                            </w:rPr>
                            <w:t>Mul�</w:t>
                          </w:r>
                          <w:r>
                            <w:rPr>
                              <w:rFonts w:ascii="Calibri" w:eastAsia="Calibri" w:hAnsi="Calibri" w:cs="Calibri"/>
                              <w:spacing w:val="-1"/>
                              <w:sz w:val="15"/>
                              <w:szCs w:val="15"/>
                            </w:rPr>
                            <w:t xml:space="preserve"> </w:t>
                          </w:r>
                          <w:r>
                            <w:rPr>
                              <w:rFonts w:ascii="Calibri" w:eastAsia="Calibri" w:hAnsi="Calibri" w:cs="Calibri"/>
                              <w:spacing w:val="-2"/>
                              <w:w w:val="105"/>
                              <w:sz w:val="15"/>
                              <w:szCs w:val="15"/>
                            </w:rPr>
                            <w:t>Academy</w:t>
                          </w:r>
                          <w:r>
                            <w:rPr>
                              <w:rFonts w:ascii="Calibri" w:eastAsia="Calibri" w:hAnsi="Calibri" w:cs="Calibri"/>
                              <w:spacing w:val="-3"/>
                              <w:w w:val="105"/>
                              <w:sz w:val="15"/>
                              <w:szCs w:val="15"/>
                            </w:rPr>
                            <w:t xml:space="preserve"> </w:t>
                          </w:r>
                          <w:r>
                            <w:rPr>
                              <w:rFonts w:ascii="Calibri" w:eastAsia="Calibri" w:hAnsi="Calibri" w:cs="Calibri"/>
                              <w:spacing w:val="-2"/>
                              <w:w w:val="105"/>
                              <w:sz w:val="15"/>
                              <w:szCs w:val="15"/>
                            </w:rPr>
                            <w:t>Trust</w:t>
                          </w:r>
                          <w:r>
                            <w:rPr>
                              <w:rFonts w:ascii="Calibri" w:eastAsia="Calibri" w:hAnsi="Calibri" w:cs="Calibri"/>
                              <w:spacing w:val="-3"/>
                              <w:w w:val="105"/>
                              <w:sz w:val="15"/>
                              <w:szCs w:val="15"/>
                            </w:rPr>
                            <w:t xml:space="preserve"> </w:t>
                          </w:r>
                          <w:r>
                            <w:rPr>
                              <w:rFonts w:ascii="Calibri" w:eastAsia="Calibri" w:hAnsi="Calibri" w:cs="Calibri"/>
                              <w:spacing w:val="-2"/>
                              <w:w w:val="105"/>
                              <w:sz w:val="15"/>
                              <w:szCs w:val="15"/>
                            </w:rPr>
                            <w:t>Policy</w:t>
                          </w:r>
                          <w:r>
                            <w:rPr>
                              <w:rFonts w:ascii="Calibri" w:eastAsia="Calibri" w:hAnsi="Calibri" w:cs="Calibri"/>
                              <w:spacing w:val="-3"/>
                              <w:w w:val="105"/>
                              <w:sz w:val="15"/>
                              <w:szCs w:val="15"/>
                            </w:rPr>
                            <w:t xml:space="preserve"> </w:t>
                          </w:r>
                          <w:r>
                            <w:rPr>
                              <w:rFonts w:ascii="Calibri" w:eastAsia="Calibri" w:hAnsi="Calibri" w:cs="Calibri"/>
                              <w:spacing w:val="-2"/>
                              <w:w w:val="105"/>
                              <w:sz w:val="15"/>
                              <w:szCs w:val="15"/>
                            </w:rPr>
                            <w:t>Statement</w:t>
                          </w:r>
                          <w:r>
                            <w:rPr>
                              <w:rFonts w:ascii="Calibri" w:eastAsia="Calibri" w:hAnsi="Calibri" w:cs="Calibri"/>
                              <w:spacing w:val="-4"/>
                              <w:w w:val="105"/>
                              <w:sz w:val="15"/>
                              <w:szCs w:val="15"/>
                            </w:rPr>
                            <w:t xml:space="preserve"> </w:t>
                          </w:r>
                          <w:r>
                            <w:rPr>
                              <w:rFonts w:ascii="Calibri" w:eastAsia="Calibri" w:hAnsi="Calibri" w:cs="Calibri"/>
                              <w:spacing w:val="-2"/>
                              <w:w w:val="105"/>
                              <w:sz w:val="15"/>
                              <w:szCs w:val="15"/>
                            </w:rPr>
                            <w:t>SEND</w:t>
                          </w:r>
                          <w:r>
                            <w:rPr>
                              <w:rFonts w:ascii="Calibri" w:eastAsia="Calibri" w:hAnsi="Calibri" w:cs="Calibri"/>
                              <w:spacing w:val="-3"/>
                              <w:w w:val="105"/>
                              <w:sz w:val="15"/>
                              <w:szCs w:val="15"/>
                            </w:rPr>
                            <w:t xml:space="preserve"> </w:t>
                          </w:r>
                          <w:r>
                            <w:rPr>
                              <w:rFonts w:ascii="Calibri" w:eastAsia="Calibri" w:hAnsi="Calibri" w:cs="Calibri"/>
                              <w:spacing w:val="-2"/>
                              <w:w w:val="105"/>
                              <w:sz w:val="15"/>
                              <w:szCs w:val="15"/>
                            </w:rPr>
                            <w:t>202</w:t>
                          </w:r>
                          <w:r w:rsidR="00BD13F1">
                            <w:rPr>
                              <w:rFonts w:ascii="Calibri" w:eastAsia="Calibri" w:hAnsi="Calibri" w:cs="Calibri"/>
                              <w:spacing w:val="-2"/>
                              <w:w w:val="105"/>
                              <w:sz w:val="15"/>
                              <w:szCs w:val="15"/>
                            </w:rPr>
                            <w:t>5</w:t>
                          </w:r>
                          <w:r>
                            <w:rPr>
                              <w:rFonts w:ascii="Calibri" w:eastAsia="Calibri" w:hAnsi="Calibri" w:cs="Calibri"/>
                              <w:spacing w:val="-1"/>
                              <w:sz w:val="15"/>
                              <w:szCs w:val="15"/>
                            </w:rPr>
                            <w:t xml:space="preserve"> </w:t>
                          </w:r>
                          <w:r>
                            <w:rPr>
                              <w:rFonts w:ascii="Calibri" w:eastAsia="Calibri" w:hAnsi="Calibri" w:cs="Calibri"/>
                              <w:spacing w:val="-23"/>
                              <w:w w:val="105"/>
                              <w:sz w:val="15"/>
                              <w:szCs w:val="15"/>
                            </w:rPr>
                            <w:t>V</w:t>
                          </w:r>
                          <w:r w:rsidR="00BD13F1">
                            <w:rPr>
                              <w:rFonts w:ascii="Calibri" w:eastAsia="Calibri" w:hAnsi="Calibri" w:cs="Calibri"/>
                              <w:spacing w:val="-23"/>
                              <w:w w:val="105"/>
                              <w:sz w:val="15"/>
                              <w:szCs w:val="15"/>
                            </w:rPr>
                            <w:t>2</w:t>
                          </w:r>
                        </w:p>
                      </w:txbxContent>
                    </wps:txbx>
                    <wps:bodyPr wrap="square" lIns="0" tIns="0" rIns="0" bIns="0" rtlCol="0">
                      <a:noAutofit/>
                    </wps:bodyPr>
                  </wps:wsp>
                </a:graphicData>
              </a:graphic>
            </wp:anchor>
          </w:drawing>
        </mc:Choice>
        <mc:Fallback>
          <w:pict>
            <v:shapetype w14:anchorId="7B35D013" id="_x0000_t202" coordsize="21600,21600" o:spt="202" path="m,l,21600r21600,l21600,xe">
              <v:stroke joinstyle="miter"/>
              <v:path gradientshapeok="t" o:connecttype="rect"/>
            </v:shapetype>
            <v:shape id="Textbox 1" o:spid="_x0000_s1026" type="#_x0000_t202" style="position:absolute;margin-left:43.8pt;margin-top:784.5pt;width:181.5pt;height:9.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" filled="f" stroked="f">
              <v:textbox inset="0,0,0,0">
                <w:txbxContent>
                  <w:p w14:paraId="7199C566" w14:textId="33FBBA8B" w:rsidR="001148B2" w:rsidRDefault="0088432A">
                    <w:pPr>
                      <w:spacing w:line="177" w:lineRule="exact"/>
                      <w:ind w:left="20"/>
                      <w:rPr>
                        <w:rFonts w:ascii="Calibri" w:eastAsia="Calibri" w:hAnsi="Calibri" w:cs="Calibri"/>
                        <w:sz w:val="15"/>
                        <w:szCs w:val="15"/>
                      </w:rPr>
                    </w:pPr>
                    <w:r>
                      <w:rPr>
                        <w:rFonts w:ascii="Calibri" w:eastAsia="Calibri" w:hAnsi="Calibri" w:cs="Calibri"/>
                        <w:spacing w:val="-2"/>
                        <w:w w:val="105"/>
                        <w:sz w:val="15"/>
                        <w:szCs w:val="15"/>
                      </w:rPr>
                      <w:t>ACT</w:t>
                    </w:r>
                    <w:r>
                      <w:rPr>
                        <w:rFonts w:ascii="Calibri" w:eastAsia="Calibri" w:hAnsi="Calibri" w:cs="Calibri"/>
                        <w:spacing w:val="-1"/>
                        <w:sz w:val="15"/>
                        <w:szCs w:val="15"/>
                      </w:rPr>
                      <w:t xml:space="preserve"> </w:t>
                    </w:r>
                    <w:r>
                      <w:rPr>
                        <w:rFonts w:ascii="Calibri" w:eastAsia="Calibri" w:hAnsi="Calibri" w:cs="Calibri"/>
                        <w:spacing w:val="-2"/>
                        <w:w w:val="105"/>
                        <w:sz w:val="15"/>
                        <w:szCs w:val="15"/>
                      </w:rPr>
                      <w:t>Mul�</w:t>
                    </w:r>
                    <w:r>
                      <w:rPr>
                        <w:rFonts w:ascii="Calibri" w:eastAsia="Calibri" w:hAnsi="Calibri" w:cs="Calibri"/>
                        <w:spacing w:val="-1"/>
                        <w:sz w:val="15"/>
                        <w:szCs w:val="15"/>
                      </w:rPr>
                      <w:t xml:space="preserve"> </w:t>
                    </w:r>
                    <w:r>
                      <w:rPr>
                        <w:rFonts w:ascii="Calibri" w:eastAsia="Calibri" w:hAnsi="Calibri" w:cs="Calibri"/>
                        <w:spacing w:val="-2"/>
                        <w:w w:val="105"/>
                        <w:sz w:val="15"/>
                        <w:szCs w:val="15"/>
                      </w:rPr>
                      <w:t>Academy</w:t>
                    </w:r>
                    <w:r>
                      <w:rPr>
                        <w:rFonts w:ascii="Calibri" w:eastAsia="Calibri" w:hAnsi="Calibri" w:cs="Calibri"/>
                        <w:spacing w:val="-3"/>
                        <w:w w:val="105"/>
                        <w:sz w:val="15"/>
                        <w:szCs w:val="15"/>
                      </w:rPr>
                      <w:t xml:space="preserve"> </w:t>
                    </w:r>
                    <w:r>
                      <w:rPr>
                        <w:rFonts w:ascii="Calibri" w:eastAsia="Calibri" w:hAnsi="Calibri" w:cs="Calibri"/>
                        <w:spacing w:val="-2"/>
                        <w:w w:val="105"/>
                        <w:sz w:val="15"/>
                        <w:szCs w:val="15"/>
                      </w:rPr>
                      <w:t>Trust</w:t>
                    </w:r>
                    <w:r>
                      <w:rPr>
                        <w:rFonts w:ascii="Calibri" w:eastAsia="Calibri" w:hAnsi="Calibri" w:cs="Calibri"/>
                        <w:spacing w:val="-3"/>
                        <w:w w:val="105"/>
                        <w:sz w:val="15"/>
                        <w:szCs w:val="15"/>
                      </w:rPr>
                      <w:t xml:space="preserve"> </w:t>
                    </w:r>
                    <w:r>
                      <w:rPr>
                        <w:rFonts w:ascii="Calibri" w:eastAsia="Calibri" w:hAnsi="Calibri" w:cs="Calibri"/>
                        <w:spacing w:val="-2"/>
                        <w:w w:val="105"/>
                        <w:sz w:val="15"/>
                        <w:szCs w:val="15"/>
                      </w:rPr>
                      <w:t>Policy</w:t>
                    </w:r>
                    <w:r>
                      <w:rPr>
                        <w:rFonts w:ascii="Calibri" w:eastAsia="Calibri" w:hAnsi="Calibri" w:cs="Calibri"/>
                        <w:spacing w:val="-3"/>
                        <w:w w:val="105"/>
                        <w:sz w:val="15"/>
                        <w:szCs w:val="15"/>
                      </w:rPr>
                      <w:t xml:space="preserve"> </w:t>
                    </w:r>
                    <w:r>
                      <w:rPr>
                        <w:rFonts w:ascii="Calibri" w:eastAsia="Calibri" w:hAnsi="Calibri" w:cs="Calibri"/>
                        <w:spacing w:val="-2"/>
                        <w:w w:val="105"/>
                        <w:sz w:val="15"/>
                        <w:szCs w:val="15"/>
                      </w:rPr>
                      <w:t>Statement</w:t>
                    </w:r>
                    <w:r>
                      <w:rPr>
                        <w:rFonts w:ascii="Calibri" w:eastAsia="Calibri" w:hAnsi="Calibri" w:cs="Calibri"/>
                        <w:spacing w:val="-4"/>
                        <w:w w:val="105"/>
                        <w:sz w:val="15"/>
                        <w:szCs w:val="15"/>
                      </w:rPr>
                      <w:t xml:space="preserve"> </w:t>
                    </w:r>
                    <w:r>
                      <w:rPr>
                        <w:rFonts w:ascii="Calibri" w:eastAsia="Calibri" w:hAnsi="Calibri" w:cs="Calibri"/>
                        <w:spacing w:val="-2"/>
                        <w:w w:val="105"/>
                        <w:sz w:val="15"/>
                        <w:szCs w:val="15"/>
                      </w:rPr>
                      <w:t>SEND</w:t>
                    </w:r>
                    <w:r>
                      <w:rPr>
                        <w:rFonts w:ascii="Calibri" w:eastAsia="Calibri" w:hAnsi="Calibri" w:cs="Calibri"/>
                        <w:spacing w:val="-3"/>
                        <w:w w:val="105"/>
                        <w:sz w:val="15"/>
                        <w:szCs w:val="15"/>
                      </w:rPr>
                      <w:t xml:space="preserve"> </w:t>
                    </w:r>
                    <w:r>
                      <w:rPr>
                        <w:rFonts w:ascii="Calibri" w:eastAsia="Calibri" w:hAnsi="Calibri" w:cs="Calibri"/>
                        <w:spacing w:val="-2"/>
                        <w:w w:val="105"/>
                        <w:sz w:val="15"/>
                        <w:szCs w:val="15"/>
                      </w:rPr>
                      <w:t>202</w:t>
                    </w:r>
                    <w:r w:rsidR="00BD13F1">
                      <w:rPr>
                        <w:rFonts w:ascii="Calibri" w:eastAsia="Calibri" w:hAnsi="Calibri" w:cs="Calibri"/>
                        <w:spacing w:val="-2"/>
                        <w:w w:val="105"/>
                        <w:sz w:val="15"/>
                        <w:szCs w:val="15"/>
                      </w:rPr>
                      <w:t>5</w:t>
                    </w:r>
                    <w:r>
                      <w:rPr>
                        <w:rFonts w:ascii="Calibri" w:eastAsia="Calibri" w:hAnsi="Calibri" w:cs="Calibri"/>
                        <w:spacing w:val="-1"/>
                        <w:sz w:val="15"/>
                        <w:szCs w:val="15"/>
                      </w:rPr>
                      <w:t xml:space="preserve"> </w:t>
                    </w:r>
                    <w:r>
                      <w:rPr>
                        <w:rFonts w:ascii="Calibri" w:eastAsia="Calibri" w:hAnsi="Calibri" w:cs="Calibri"/>
                        <w:spacing w:val="-23"/>
                        <w:w w:val="105"/>
                        <w:sz w:val="15"/>
                        <w:szCs w:val="15"/>
                      </w:rPr>
                      <w:t>V</w:t>
                    </w:r>
                    <w:r w:rsidR="00BD13F1">
                      <w:rPr>
                        <w:rFonts w:ascii="Calibri" w:eastAsia="Calibri" w:hAnsi="Calibri" w:cs="Calibri"/>
                        <w:spacing w:val="-23"/>
                        <w:w w:val="105"/>
                        <w:sz w:val="15"/>
                        <w:szCs w:val="15"/>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CB93" w14:textId="77777777" w:rsidR="0088432A" w:rsidRDefault="0088432A">
      <w:r>
        <w:separator/>
      </w:r>
    </w:p>
  </w:footnote>
  <w:footnote w:type="continuationSeparator" w:id="0">
    <w:p w14:paraId="2C7F3529" w14:textId="77777777" w:rsidR="0088432A" w:rsidRDefault="00884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6A3"/>
    <w:multiLevelType w:val="multilevel"/>
    <w:tmpl w:val="7D1A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4030F"/>
    <w:multiLevelType w:val="multilevel"/>
    <w:tmpl w:val="26E6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37692"/>
    <w:multiLevelType w:val="multilevel"/>
    <w:tmpl w:val="03FE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C67E0"/>
    <w:multiLevelType w:val="multilevel"/>
    <w:tmpl w:val="9652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E22FD"/>
    <w:multiLevelType w:val="hybridMultilevel"/>
    <w:tmpl w:val="F1AA8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B6F25"/>
    <w:multiLevelType w:val="multilevel"/>
    <w:tmpl w:val="7C9A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E7A80"/>
    <w:multiLevelType w:val="multilevel"/>
    <w:tmpl w:val="9D92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369E0"/>
    <w:multiLevelType w:val="multilevel"/>
    <w:tmpl w:val="0144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A438C"/>
    <w:multiLevelType w:val="hybridMultilevel"/>
    <w:tmpl w:val="214E1256"/>
    <w:lvl w:ilvl="0" w:tplc="BC524A8C">
      <w:numFmt w:val="bullet"/>
      <w:lvlText w:val=""/>
      <w:lvlJc w:val="left"/>
      <w:pPr>
        <w:ind w:left="741" w:hanging="348"/>
      </w:pPr>
      <w:rPr>
        <w:rFonts w:ascii="Symbol" w:eastAsia="Symbol" w:hAnsi="Symbol" w:cs="Symbol" w:hint="default"/>
        <w:b w:val="0"/>
        <w:bCs w:val="0"/>
        <w:i w:val="0"/>
        <w:iCs w:val="0"/>
        <w:color w:val="538135"/>
        <w:spacing w:val="0"/>
        <w:w w:val="102"/>
        <w:sz w:val="20"/>
        <w:szCs w:val="20"/>
        <w:lang w:val="en-US" w:eastAsia="en-US" w:bidi="ar-SA"/>
      </w:rPr>
    </w:lvl>
    <w:lvl w:ilvl="1" w:tplc="69C41FE0">
      <w:numFmt w:val="bullet"/>
      <w:lvlText w:val="•"/>
      <w:lvlJc w:val="left"/>
      <w:pPr>
        <w:ind w:left="1686" w:hanging="348"/>
      </w:pPr>
      <w:rPr>
        <w:rFonts w:hint="default"/>
        <w:lang w:val="en-US" w:eastAsia="en-US" w:bidi="ar-SA"/>
      </w:rPr>
    </w:lvl>
    <w:lvl w:ilvl="2" w:tplc="50FAEBDA">
      <w:numFmt w:val="bullet"/>
      <w:lvlText w:val="•"/>
      <w:lvlJc w:val="left"/>
      <w:pPr>
        <w:ind w:left="2633" w:hanging="348"/>
      </w:pPr>
      <w:rPr>
        <w:rFonts w:hint="default"/>
        <w:lang w:val="en-US" w:eastAsia="en-US" w:bidi="ar-SA"/>
      </w:rPr>
    </w:lvl>
    <w:lvl w:ilvl="3" w:tplc="90E050BA">
      <w:numFmt w:val="bullet"/>
      <w:lvlText w:val="•"/>
      <w:lvlJc w:val="left"/>
      <w:pPr>
        <w:ind w:left="3579" w:hanging="348"/>
      </w:pPr>
      <w:rPr>
        <w:rFonts w:hint="default"/>
        <w:lang w:val="en-US" w:eastAsia="en-US" w:bidi="ar-SA"/>
      </w:rPr>
    </w:lvl>
    <w:lvl w:ilvl="4" w:tplc="750E2ECE">
      <w:numFmt w:val="bullet"/>
      <w:lvlText w:val="•"/>
      <w:lvlJc w:val="left"/>
      <w:pPr>
        <w:ind w:left="4526" w:hanging="348"/>
      </w:pPr>
      <w:rPr>
        <w:rFonts w:hint="default"/>
        <w:lang w:val="en-US" w:eastAsia="en-US" w:bidi="ar-SA"/>
      </w:rPr>
    </w:lvl>
    <w:lvl w:ilvl="5" w:tplc="0614B052">
      <w:numFmt w:val="bullet"/>
      <w:lvlText w:val="•"/>
      <w:lvlJc w:val="left"/>
      <w:pPr>
        <w:ind w:left="5472" w:hanging="348"/>
      </w:pPr>
      <w:rPr>
        <w:rFonts w:hint="default"/>
        <w:lang w:val="en-US" w:eastAsia="en-US" w:bidi="ar-SA"/>
      </w:rPr>
    </w:lvl>
    <w:lvl w:ilvl="6" w:tplc="BA78074E">
      <w:numFmt w:val="bullet"/>
      <w:lvlText w:val="•"/>
      <w:lvlJc w:val="left"/>
      <w:pPr>
        <w:ind w:left="6419" w:hanging="348"/>
      </w:pPr>
      <w:rPr>
        <w:rFonts w:hint="default"/>
        <w:lang w:val="en-US" w:eastAsia="en-US" w:bidi="ar-SA"/>
      </w:rPr>
    </w:lvl>
    <w:lvl w:ilvl="7" w:tplc="9460CB52">
      <w:numFmt w:val="bullet"/>
      <w:lvlText w:val="•"/>
      <w:lvlJc w:val="left"/>
      <w:pPr>
        <w:ind w:left="7365" w:hanging="348"/>
      </w:pPr>
      <w:rPr>
        <w:rFonts w:hint="default"/>
        <w:lang w:val="en-US" w:eastAsia="en-US" w:bidi="ar-SA"/>
      </w:rPr>
    </w:lvl>
    <w:lvl w:ilvl="8" w:tplc="8A08DE98">
      <w:numFmt w:val="bullet"/>
      <w:lvlText w:val="•"/>
      <w:lvlJc w:val="left"/>
      <w:pPr>
        <w:ind w:left="8312" w:hanging="348"/>
      </w:pPr>
      <w:rPr>
        <w:rFonts w:hint="default"/>
        <w:lang w:val="en-US" w:eastAsia="en-US" w:bidi="ar-SA"/>
      </w:rPr>
    </w:lvl>
  </w:abstractNum>
  <w:abstractNum w:abstractNumId="9" w15:restartNumberingAfterBreak="0">
    <w:nsid w:val="596E1A8E"/>
    <w:multiLevelType w:val="hybridMultilevel"/>
    <w:tmpl w:val="D19CD7DE"/>
    <w:lvl w:ilvl="0" w:tplc="EE862A70">
      <w:numFmt w:val="bullet"/>
      <w:lvlText w:val=""/>
      <w:lvlJc w:val="left"/>
      <w:pPr>
        <w:ind w:left="393" w:hanging="348"/>
      </w:pPr>
      <w:rPr>
        <w:rFonts w:ascii="Symbol" w:eastAsia="Symbol" w:hAnsi="Symbol" w:cs="Symbol" w:hint="default"/>
        <w:b w:val="0"/>
        <w:bCs w:val="0"/>
        <w:i w:val="0"/>
        <w:iCs w:val="0"/>
        <w:color w:val="538135"/>
        <w:spacing w:val="0"/>
        <w:w w:val="102"/>
        <w:sz w:val="20"/>
        <w:szCs w:val="20"/>
        <w:lang w:val="en-US" w:eastAsia="en-US" w:bidi="ar-SA"/>
      </w:rPr>
    </w:lvl>
    <w:lvl w:ilvl="1" w:tplc="541644E0">
      <w:numFmt w:val="bullet"/>
      <w:lvlText w:val="•"/>
      <w:lvlJc w:val="left"/>
      <w:pPr>
        <w:ind w:left="1380" w:hanging="348"/>
      </w:pPr>
      <w:rPr>
        <w:rFonts w:hint="default"/>
        <w:lang w:val="en-US" w:eastAsia="en-US" w:bidi="ar-SA"/>
      </w:rPr>
    </w:lvl>
    <w:lvl w:ilvl="2" w:tplc="A13AA0CA">
      <w:numFmt w:val="bullet"/>
      <w:lvlText w:val="•"/>
      <w:lvlJc w:val="left"/>
      <w:pPr>
        <w:ind w:left="2361" w:hanging="348"/>
      </w:pPr>
      <w:rPr>
        <w:rFonts w:hint="default"/>
        <w:lang w:val="en-US" w:eastAsia="en-US" w:bidi="ar-SA"/>
      </w:rPr>
    </w:lvl>
    <w:lvl w:ilvl="3" w:tplc="0DC6E18A">
      <w:numFmt w:val="bullet"/>
      <w:lvlText w:val="•"/>
      <w:lvlJc w:val="left"/>
      <w:pPr>
        <w:ind w:left="3341" w:hanging="348"/>
      </w:pPr>
      <w:rPr>
        <w:rFonts w:hint="default"/>
        <w:lang w:val="en-US" w:eastAsia="en-US" w:bidi="ar-SA"/>
      </w:rPr>
    </w:lvl>
    <w:lvl w:ilvl="4" w:tplc="0FCC6C88">
      <w:numFmt w:val="bullet"/>
      <w:lvlText w:val="•"/>
      <w:lvlJc w:val="left"/>
      <w:pPr>
        <w:ind w:left="4322" w:hanging="348"/>
      </w:pPr>
      <w:rPr>
        <w:rFonts w:hint="default"/>
        <w:lang w:val="en-US" w:eastAsia="en-US" w:bidi="ar-SA"/>
      </w:rPr>
    </w:lvl>
    <w:lvl w:ilvl="5" w:tplc="1DC21D12">
      <w:numFmt w:val="bullet"/>
      <w:lvlText w:val="•"/>
      <w:lvlJc w:val="left"/>
      <w:pPr>
        <w:ind w:left="5302" w:hanging="348"/>
      </w:pPr>
      <w:rPr>
        <w:rFonts w:hint="default"/>
        <w:lang w:val="en-US" w:eastAsia="en-US" w:bidi="ar-SA"/>
      </w:rPr>
    </w:lvl>
    <w:lvl w:ilvl="6" w:tplc="B8FC553A">
      <w:numFmt w:val="bullet"/>
      <w:lvlText w:val="•"/>
      <w:lvlJc w:val="left"/>
      <w:pPr>
        <w:ind w:left="6283" w:hanging="348"/>
      </w:pPr>
      <w:rPr>
        <w:rFonts w:hint="default"/>
        <w:lang w:val="en-US" w:eastAsia="en-US" w:bidi="ar-SA"/>
      </w:rPr>
    </w:lvl>
    <w:lvl w:ilvl="7" w:tplc="EDA8E05A">
      <w:numFmt w:val="bullet"/>
      <w:lvlText w:val="•"/>
      <w:lvlJc w:val="left"/>
      <w:pPr>
        <w:ind w:left="7263" w:hanging="348"/>
      </w:pPr>
      <w:rPr>
        <w:rFonts w:hint="default"/>
        <w:lang w:val="en-US" w:eastAsia="en-US" w:bidi="ar-SA"/>
      </w:rPr>
    </w:lvl>
    <w:lvl w:ilvl="8" w:tplc="7ECCBD70">
      <w:numFmt w:val="bullet"/>
      <w:lvlText w:val="•"/>
      <w:lvlJc w:val="left"/>
      <w:pPr>
        <w:ind w:left="8244" w:hanging="348"/>
      </w:pPr>
      <w:rPr>
        <w:rFonts w:hint="default"/>
        <w:lang w:val="en-US" w:eastAsia="en-US" w:bidi="ar-SA"/>
      </w:rPr>
    </w:lvl>
  </w:abstractNum>
  <w:abstractNum w:abstractNumId="10" w15:restartNumberingAfterBreak="0">
    <w:nsid w:val="5D640468"/>
    <w:multiLevelType w:val="multilevel"/>
    <w:tmpl w:val="9058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0D1C2E"/>
    <w:multiLevelType w:val="multilevel"/>
    <w:tmpl w:val="A63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928481">
    <w:abstractNumId w:val="9"/>
  </w:num>
  <w:num w:numId="2" w16cid:durableId="1147359345">
    <w:abstractNumId w:val="8"/>
  </w:num>
  <w:num w:numId="3" w16cid:durableId="2035156720">
    <w:abstractNumId w:val="2"/>
  </w:num>
  <w:num w:numId="4" w16cid:durableId="707729812">
    <w:abstractNumId w:val="5"/>
  </w:num>
  <w:num w:numId="5" w16cid:durableId="424495136">
    <w:abstractNumId w:val="6"/>
  </w:num>
  <w:num w:numId="6" w16cid:durableId="572861534">
    <w:abstractNumId w:val="7"/>
  </w:num>
  <w:num w:numId="7" w16cid:durableId="1948922528">
    <w:abstractNumId w:val="1"/>
  </w:num>
  <w:num w:numId="8" w16cid:durableId="986087037">
    <w:abstractNumId w:val="0"/>
  </w:num>
  <w:num w:numId="9" w16cid:durableId="1428161815">
    <w:abstractNumId w:val="3"/>
  </w:num>
  <w:num w:numId="10" w16cid:durableId="79258456">
    <w:abstractNumId w:val="10"/>
  </w:num>
  <w:num w:numId="11" w16cid:durableId="196048548">
    <w:abstractNumId w:val="11"/>
  </w:num>
  <w:num w:numId="12" w16cid:durableId="220167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B2"/>
    <w:rsid w:val="000161C7"/>
    <w:rsid w:val="001148B2"/>
    <w:rsid w:val="002003DE"/>
    <w:rsid w:val="00225A1E"/>
    <w:rsid w:val="0088432A"/>
    <w:rsid w:val="00BD13F1"/>
    <w:rsid w:val="00CE2B97"/>
    <w:rsid w:val="00EF1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EA2E6E"/>
  <w15:docId w15:val="{95FFCCA2-0FC6-4DE2-8131-D6C7D2CE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788" w:right="787" w:hanging="1"/>
      <w:jc w:val="center"/>
      <w:outlineLvl w:val="0"/>
    </w:pPr>
    <w:rPr>
      <w:rFonts w:ascii="Century Gothic Bold" w:eastAsia="Century Gothic Bold" w:hAnsi="Century Gothic Bold" w:cs="Century Gothic Bold"/>
      <w:b/>
      <w:bCs/>
      <w:sz w:val="54"/>
      <w:szCs w:val="54"/>
    </w:rPr>
  </w:style>
  <w:style w:type="paragraph" w:styleId="Heading2">
    <w:name w:val="heading 2"/>
    <w:basedOn w:val="Normal"/>
    <w:uiPriority w:val="9"/>
    <w:unhideWhenUsed/>
    <w:qFormat/>
    <w:pPr>
      <w:spacing w:before="155"/>
      <w:ind w:left="45"/>
      <w:outlineLvl w:val="1"/>
    </w:pPr>
    <w:rPr>
      <w:rFonts w:ascii="Century Gothic Bold" w:eastAsia="Century Gothic Bold" w:hAnsi="Century Gothic Bold" w:cs="Century Gothic Bold"/>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48"/>
    </w:pPr>
    <w:rPr>
      <w:sz w:val="20"/>
      <w:szCs w:val="20"/>
    </w:rPr>
  </w:style>
  <w:style w:type="paragraph" w:styleId="ListParagraph">
    <w:name w:val="List Paragraph"/>
    <w:basedOn w:val="Normal"/>
    <w:uiPriority w:val="1"/>
    <w:qFormat/>
    <w:pPr>
      <w:spacing w:before="24"/>
      <w:ind w:left="741" w:hanging="348"/>
    </w:pPr>
  </w:style>
  <w:style w:type="paragraph" w:customStyle="1" w:styleId="TableParagraph">
    <w:name w:val="Table Paragraph"/>
    <w:basedOn w:val="Normal"/>
    <w:uiPriority w:val="1"/>
    <w:qFormat/>
    <w:pPr>
      <w:spacing w:before="3" w:line="212" w:lineRule="exact"/>
      <w:ind w:left="103"/>
    </w:pPr>
    <w:rPr>
      <w:rFonts w:ascii="Century Gothic Bold" w:eastAsia="Century Gothic Bold" w:hAnsi="Century Gothic Bold" w:cs="Century Gothic Bold"/>
    </w:rPr>
  </w:style>
  <w:style w:type="paragraph" w:styleId="Header">
    <w:name w:val="header"/>
    <w:basedOn w:val="Normal"/>
    <w:link w:val="HeaderChar"/>
    <w:uiPriority w:val="99"/>
    <w:unhideWhenUsed/>
    <w:rsid w:val="00BD13F1"/>
    <w:pPr>
      <w:tabs>
        <w:tab w:val="center" w:pos="4513"/>
        <w:tab w:val="right" w:pos="9026"/>
      </w:tabs>
    </w:pPr>
  </w:style>
  <w:style w:type="character" w:customStyle="1" w:styleId="HeaderChar">
    <w:name w:val="Header Char"/>
    <w:basedOn w:val="DefaultParagraphFont"/>
    <w:link w:val="Header"/>
    <w:uiPriority w:val="99"/>
    <w:rsid w:val="00BD13F1"/>
    <w:rPr>
      <w:rFonts w:ascii="Century Gothic" w:eastAsia="Century Gothic" w:hAnsi="Century Gothic" w:cs="Century Gothic"/>
    </w:rPr>
  </w:style>
  <w:style w:type="paragraph" w:styleId="Footer">
    <w:name w:val="footer"/>
    <w:basedOn w:val="Normal"/>
    <w:link w:val="FooterChar"/>
    <w:uiPriority w:val="99"/>
    <w:unhideWhenUsed/>
    <w:rsid w:val="00BD13F1"/>
    <w:pPr>
      <w:tabs>
        <w:tab w:val="center" w:pos="4513"/>
        <w:tab w:val="right" w:pos="9026"/>
      </w:tabs>
    </w:pPr>
  </w:style>
  <w:style w:type="character" w:customStyle="1" w:styleId="FooterChar">
    <w:name w:val="Footer Char"/>
    <w:basedOn w:val="DefaultParagraphFont"/>
    <w:link w:val="Footer"/>
    <w:uiPriority w:val="99"/>
    <w:rsid w:val="00BD13F1"/>
    <w:rPr>
      <w:rFonts w:ascii="Century Gothic" w:eastAsia="Century Gothic" w:hAnsi="Century Gothic" w:cs="Century Gothic"/>
    </w:rPr>
  </w:style>
  <w:style w:type="paragraph" w:styleId="NormalWeb">
    <w:name w:val="Normal (Web)"/>
    <w:basedOn w:val="Normal"/>
    <w:uiPriority w:val="99"/>
    <w:semiHidden/>
    <w:unhideWhenUsed/>
    <w:rsid w:val="0088432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84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752</Words>
  <Characters>4454</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Trust Policy Statement on SEND</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Policy Statement on SEND</dc:title>
  <dc:creator>Caroline</dc:creator>
  <cp:lastModifiedBy>Rebecca Bliss (ACT Trust)</cp:lastModifiedBy>
  <cp:revision>5</cp:revision>
  <dcterms:created xsi:type="dcterms:W3CDTF">2025-11-17T10:57:00Z</dcterms:created>
  <dcterms:modified xsi:type="dcterms:W3CDTF">2025-12-01T09:47:00Z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Preview</vt:lpwstr>
  </property>
  <property fmtid="{D5CDD505-2E9C-101B-9397-08002B2CF9AE}" pid="4" name="LastSaved">
    <vt:filetime>2025-11-17T00:00:00Z</vt:filetime>
  </property>
  <property fmtid="{D5CDD505-2E9C-101B-9397-08002B2CF9AE}" pid="5" name="Producer">
    <vt:lpwstr>macOS Version 12.7.1 (Build 21G920) Quartz PDFContext</vt:lpwstr>
  </property>
</Properties>
</file>